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bookmarkStart w:id="68" w:name="_GoBack"/>
      <w:bookmarkEnd w:id="68"/>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2238" w:leftChars="228" w:hanging="1600" w:hangingChars="5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项目名称：乌鲁木齐市城市安全运行监测工程（一期）项目（高风险企业专项）</w:t>
      </w:r>
    </w:p>
    <w:p>
      <w:pPr>
        <w:spacing w:line="480" w:lineRule="auto"/>
        <w:ind w:left="2238" w:leftChars="228" w:hanging="1600" w:hangingChars="5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项目单位：乌鲁木齐市应急管理局</w:t>
      </w:r>
      <w:r>
        <w:rPr>
          <w:rFonts w:hint="eastAsia" w:ascii="仿宋_GB2312" w:hAnsi="Times New Roman" w:cs="Times New Roman"/>
          <w:kern w:val="0"/>
          <w:sz w:val="32"/>
          <w:szCs w:val="32"/>
          <w:lang w:eastAsia="zh-CN" w:bidi="en-US"/>
        </w:rPr>
        <w:t>（</w:t>
      </w:r>
      <w:r>
        <w:rPr>
          <w:rFonts w:hint="eastAsia" w:ascii="仿宋_GB2312" w:hAnsi="Times New Roman" w:cs="Times New Roman"/>
          <w:kern w:val="0"/>
          <w:sz w:val="32"/>
          <w:szCs w:val="32"/>
          <w:lang w:val="en-US" w:eastAsia="zh-CN" w:bidi="en-US"/>
        </w:rPr>
        <w:t>市矿山安全监督管理局</w:t>
      </w:r>
      <w:r>
        <w:rPr>
          <w:rFonts w:hint="eastAsia" w:ascii="仿宋_GB2312" w:hAnsi="Times New Roman" w:cs="Times New Roman"/>
          <w:kern w:val="0"/>
          <w:sz w:val="32"/>
          <w:szCs w:val="32"/>
          <w:lang w:eastAsia="zh-CN" w:bidi="en-US"/>
        </w:rPr>
        <w:t>）</w:t>
      </w:r>
      <w:r>
        <w:rPr>
          <w:rFonts w:ascii="仿宋_GB2312" w:hAnsi="Times New Roman" w:cs="Times New Roman"/>
          <w:kern w:val="0"/>
          <w:sz w:val="32"/>
          <w:szCs w:val="32"/>
          <w:lang w:bidi="en-US"/>
        </w:rPr>
        <w:t xml:space="preserve"> </w:t>
      </w:r>
    </w:p>
    <w:p>
      <w:pPr>
        <w:spacing w:line="480" w:lineRule="auto"/>
        <w:ind w:left="2238" w:leftChars="228" w:hanging="1600" w:hangingChars="5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主管部门：乌鲁木齐市应急管理局</w:t>
      </w:r>
      <w:r>
        <w:rPr>
          <w:rFonts w:hint="eastAsia" w:ascii="仿宋_GB2312" w:hAnsi="Times New Roman" w:cs="Times New Roman"/>
          <w:kern w:val="0"/>
          <w:sz w:val="32"/>
          <w:szCs w:val="32"/>
          <w:lang w:eastAsia="zh-CN" w:bidi="en-US"/>
        </w:rPr>
        <w:t>（</w:t>
      </w:r>
      <w:r>
        <w:rPr>
          <w:rFonts w:hint="eastAsia" w:ascii="仿宋_GB2312" w:hAnsi="Times New Roman" w:cs="Times New Roman"/>
          <w:kern w:val="0"/>
          <w:sz w:val="32"/>
          <w:szCs w:val="32"/>
          <w:lang w:val="en-US" w:eastAsia="zh-CN" w:bidi="en-US"/>
        </w:rPr>
        <w:t>市矿山安全监督管理局</w:t>
      </w:r>
      <w:r>
        <w:rPr>
          <w:rFonts w:hint="eastAsia" w:ascii="仿宋_GB2312" w:hAnsi="Times New Roman" w:cs="Times New Roman"/>
          <w:kern w:val="0"/>
          <w:sz w:val="32"/>
          <w:szCs w:val="32"/>
          <w:lang w:eastAsia="zh-CN" w:bidi="en-US"/>
        </w:rPr>
        <w:t>）</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tabs>
          <w:tab w:val="left" w:pos="3324"/>
        </w:tabs>
        <w:spacing w:line="480" w:lineRule="auto"/>
        <w:ind w:firstLine="0" w:firstLineChars="0"/>
        <w:rPr>
          <w:rFonts w:ascii="仿宋_GB2312" w:hAnsi="Times New Roman" w:cs="Times New Roman"/>
          <w:kern w:val="0"/>
          <w:sz w:val="32"/>
          <w:szCs w:val="32"/>
          <w:lang w:bidi="en-US"/>
        </w:rPr>
      </w:pPr>
    </w:p>
    <w:p>
      <w:pPr>
        <w:ind w:left="0" w:leftChars="0" w:firstLine="0" w:firstLineChars="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2"/>
            <w:ind w:firstLine="560"/>
            <w:jc w:val="center"/>
          </w:pPr>
          <w:r>
            <w:rPr>
              <w:lang w:val="zh-CN"/>
            </w:rPr>
            <w:t>目录</w:t>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21"/>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21"/>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21"/>
            </w:rPr>
            <w:t>1</w:t>
          </w:r>
          <w:r>
            <w:rPr>
              <w:rStyle w:val="21"/>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21"/>
            </w:rPr>
            <w:t>2.</w:t>
          </w:r>
          <w:r>
            <w:rPr>
              <w:rStyle w:val="21"/>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21"/>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21"/>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21"/>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21"/>
            </w:rPr>
            <w:t>1.</w:t>
          </w:r>
          <w:r>
            <w:rPr>
              <w:rStyle w:val="21"/>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21"/>
            </w:rPr>
            <w:t>2.</w:t>
          </w:r>
          <w:r>
            <w:rPr>
              <w:rStyle w:val="21"/>
              <w:rFonts w:hint="eastAsia"/>
            </w:rPr>
            <w:t>评价目的</w:t>
          </w:r>
          <w:r>
            <w:tab/>
          </w:r>
          <w:r>
            <w:fldChar w:fldCharType="begin"/>
          </w:r>
          <w:r>
            <w:instrText xml:space="preserve"> PAGEREF _Toc165277228 \h </w:instrText>
          </w:r>
          <w:r>
            <w:fldChar w:fldCharType="separate"/>
          </w:r>
          <w:r>
            <w:t>3</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21"/>
            </w:rPr>
            <w:t>3.</w:t>
          </w:r>
          <w:r>
            <w:rPr>
              <w:rStyle w:val="21"/>
              <w:rFonts w:hint="eastAsia"/>
            </w:rPr>
            <w:t>评价对象</w:t>
          </w:r>
          <w:r>
            <w:tab/>
          </w:r>
          <w:r>
            <w:fldChar w:fldCharType="begin"/>
          </w:r>
          <w:r>
            <w:instrText xml:space="preserve"> PAGEREF _Toc165277229 \h </w:instrText>
          </w:r>
          <w:r>
            <w:fldChar w:fldCharType="separate"/>
          </w:r>
          <w:r>
            <w:t>3</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21"/>
            </w:rPr>
            <w:t>4.</w:t>
          </w:r>
          <w:r>
            <w:rPr>
              <w:rStyle w:val="21"/>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21"/>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21"/>
            </w:rPr>
            <w:t>1.</w:t>
          </w:r>
          <w:r>
            <w:rPr>
              <w:rStyle w:val="21"/>
              <w:rFonts w:hint="eastAsia"/>
            </w:rPr>
            <w:t>评价原则</w:t>
          </w:r>
          <w:r>
            <w:tab/>
          </w:r>
          <w:r>
            <w:fldChar w:fldCharType="begin"/>
          </w:r>
          <w:r>
            <w:instrText xml:space="preserve"> PAGEREF _Toc165277232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21"/>
            </w:rPr>
            <w:t>2.</w:t>
          </w:r>
          <w:r>
            <w:rPr>
              <w:rStyle w:val="21"/>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21"/>
            </w:rPr>
            <w:t>3.</w:t>
          </w:r>
          <w:r>
            <w:rPr>
              <w:rStyle w:val="21"/>
              <w:rFonts w:hint="eastAsia"/>
            </w:rPr>
            <w:t>评价方法</w:t>
          </w:r>
          <w:r>
            <w:tab/>
          </w:r>
          <w:r>
            <w:fldChar w:fldCharType="begin"/>
          </w:r>
          <w:r>
            <w:instrText xml:space="preserve"> PAGEREF _Toc165277234 \h </w:instrText>
          </w:r>
          <w:r>
            <w:fldChar w:fldCharType="separate"/>
          </w:r>
          <w:r>
            <w:t>12</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21"/>
            </w:rPr>
            <w:t>4.</w:t>
          </w:r>
          <w:r>
            <w:rPr>
              <w:rStyle w:val="21"/>
              <w:rFonts w:hint="eastAsia"/>
            </w:rPr>
            <w:t>评价标准</w:t>
          </w:r>
          <w:r>
            <w:tab/>
          </w:r>
          <w:r>
            <w:fldChar w:fldCharType="begin"/>
          </w:r>
          <w:r>
            <w:instrText xml:space="preserve"> PAGEREF _Toc165277235 \h </w:instrText>
          </w:r>
          <w:r>
            <w:fldChar w:fldCharType="separate"/>
          </w:r>
          <w:r>
            <w:t>13</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21"/>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21"/>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21"/>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21"/>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21"/>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21"/>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21"/>
            </w:rPr>
            <w:t>1.</w:t>
          </w:r>
          <w:r>
            <w:rPr>
              <w:rStyle w:val="21"/>
              <w:rFonts w:hint="eastAsia"/>
            </w:rPr>
            <w:t>项目立项</w:t>
          </w:r>
          <w:r>
            <w:tab/>
          </w:r>
          <w:r>
            <w:fldChar w:fldCharType="begin"/>
          </w:r>
          <w:r>
            <w:instrText xml:space="preserve"> PAGEREF _Toc165277242 \h </w:instrText>
          </w:r>
          <w:r>
            <w:fldChar w:fldCharType="separate"/>
          </w:r>
          <w:r>
            <w:t>16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21"/>
            </w:rPr>
            <w:t>2.</w:t>
          </w:r>
          <w:r>
            <w:rPr>
              <w:rStyle w:val="21"/>
              <w:rFonts w:hint="eastAsia"/>
            </w:rPr>
            <w:t>绩效目标</w:t>
          </w:r>
          <w:r>
            <w:tab/>
          </w:r>
          <w:r>
            <w:fldChar w:fldCharType="begin"/>
          </w:r>
          <w:r>
            <w:instrText xml:space="preserve"> PAGEREF _Toc165277243 \h </w:instrText>
          </w:r>
          <w:r>
            <w:fldChar w:fldCharType="separate"/>
          </w:r>
          <w:r>
            <w:t>16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21"/>
            </w:rPr>
            <w:t>3.</w:t>
          </w:r>
          <w:r>
            <w:rPr>
              <w:rStyle w:val="21"/>
              <w:rFonts w:hint="eastAsia"/>
            </w:rPr>
            <w:t>资金投入</w:t>
          </w:r>
          <w:r>
            <w:tab/>
          </w:r>
          <w:r>
            <w:fldChar w:fldCharType="begin"/>
          </w:r>
          <w:r>
            <w:instrText xml:space="preserve"> PAGEREF _Toc165277244 \h </w:instrText>
          </w:r>
          <w:r>
            <w:fldChar w:fldCharType="separate"/>
          </w:r>
          <w:r>
            <w:t>17</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21"/>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21"/>
            </w:rPr>
            <w:t>1.</w:t>
          </w:r>
          <w:r>
            <w:rPr>
              <w:rStyle w:val="21"/>
              <w:rFonts w:hint="eastAsia"/>
            </w:rPr>
            <w:t>资金管理</w:t>
          </w:r>
          <w:r>
            <w:tab/>
          </w:r>
          <w:r>
            <w:fldChar w:fldCharType="begin"/>
          </w:r>
          <w:r>
            <w:instrText xml:space="preserve"> PAGEREF _Toc165277246 \h </w:instrText>
          </w:r>
          <w:r>
            <w:fldChar w:fldCharType="separate"/>
          </w:r>
          <w:r>
            <w:t>17</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21"/>
            </w:rPr>
            <w:t>2.</w:t>
          </w:r>
          <w:r>
            <w:rPr>
              <w:rStyle w:val="21"/>
              <w:rFonts w:hint="eastAsia"/>
            </w:rPr>
            <w:t>组织实施</w:t>
          </w:r>
          <w:r>
            <w:tab/>
          </w:r>
          <w:r>
            <w:fldChar w:fldCharType="begin"/>
          </w:r>
          <w:r>
            <w:instrText xml:space="preserve"> PAGEREF _Toc165277247 \h </w:instrText>
          </w:r>
          <w:r>
            <w:fldChar w:fldCharType="separate"/>
          </w:r>
          <w:r>
            <w:t>18</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21"/>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21"/>
            </w:rPr>
            <w:t>1.</w:t>
          </w:r>
          <w:r>
            <w:rPr>
              <w:rStyle w:val="21"/>
              <w:rFonts w:hint="eastAsia"/>
            </w:rPr>
            <w:t>产出数量</w:t>
          </w:r>
          <w:r>
            <w:tab/>
          </w:r>
          <w:r>
            <w:fldChar w:fldCharType="begin"/>
          </w:r>
          <w:r>
            <w:instrText xml:space="preserve"> PAGEREF _Toc165277249 \h </w:instrText>
          </w:r>
          <w:r>
            <w:fldChar w:fldCharType="separate"/>
          </w:r>
          <w:r>
            <w:t>18</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21"/>
            </w:rPr>
            <w:t>2.</w:t>
          </w:r>
          <w:r>
            <w:rPr>
              <w:rStyle w:val="21"/>
              <w:rFonts w:hint="eastAsia"/>
            </w:rPr>
            <w:t>产出质量</w:t>
          </w:r>
          <w:r>
            <w:tab/>
          </w:r>
          <w:r>
            <w:fldChar w:fldCharType="begin"/>
          </w:r>
          <w:r>
            <w:instrText xml:space="preserve"> PAGEREF _Toc165277250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21"/>
            </w:rPr>
            <w:t>3.</w:t>
          </w:r>
          <w:r>
            <w:rPr>
              <w:rStyle w:val="21"/>
              <w:rFonts w:hint="eastAsia"/>
            </w:rPr>
            <w:t>产出时效</w:t>
          </w:r>
          <w:r>
            <w:tab/>
          </w:r>
          <w:r>
            <w:fldChar w:fldCharType="begin"/>
          </w:r>
          <w:r>
            <w:instrText xml:space="preserve"> PAGEREF _Toc165277251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21"/>
            </w:rPr>
            <w:t>4.</w:t>
          </w:r>
          <w:r>
            <w:rPr>
              <w:rStyle w:val="21"/>
              <w:rFonts w:hint="eastAsia"/>
            </w:rPr>
            <w:t>产出成本</w:t>
          </w:r>
          <w:r>
            <w:tab/>
          </w:r>
          <w:r>
            <w:fldChar w:fldCharType="begin"/>
          </w:r>
          <w:r>
            <w:instrText xml:space="preserve"> PAGEREF _Toc165277252 \h </w:instrText>
          </w:r>
          <w:r>
            <w:fldChar w:fldCharType="separate"/>
          </w:r>
          <w:r>
            <w:t>19</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21"/>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21"/>
            </w:rPr>
            <w:t>1.</w:t>
          </w:r>
          <w:r>
            <w:rPr>
              <w:rStyle w:val="21"/>
              <w:rFonts w:hint="eastAsia"/>
            </w:rPr>
            <w:t>项目效益</w:t>
          </w:r>
          <w:r>
            <w:tab/>
          </w:r>
          <w:r>
            <w:fldChar w:fldCharType="begin"/>
          </w:r>
          <w:r>
            <w:instrText xml:space="preserve"> PAGEREF _Toc165277254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21"/>
            </w:rPr>
            <w:t xml:space="preserve">2. </w:t>
          </w:r>
          <w:r>
            <w:rPr>
              <w:rStyle w:val="21"/>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21"/>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21"/>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21"/>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21"/>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21"/>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3"/>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pPr>
        <w:pStyle w:val="4"/>
        <w:ind w:firstLine="643"/>
        <w:rPr>
          <w:rFonts w:ascii="仿宋" w:hAnsi="仿宋" w:eastAsia="仿宋"/>
          <w:lang w:bidi="en-US"/>
        </w:rPr>
      </w:pPr>
      <w:bookmarkStart w:id="2" w:name="_Toc165277221"/>
      <w:bookmarkStart w:id="3" w:name="_Toc67911602"/>
      <w:r>
        <w:rPr>
          <w:rFonts w:hint="eastAsia" w:ascii="仿宋" w:hAnsi="仿宋" w:eastAsia="仿宋"/>
          <w:lang w:bidi="en-US"/>
        </w:rPr>
        <w:t>（一）项目概况：</w:t>
      </w:r>
      <w:bookmarkEnd w:id="2"/>
      <w:bookmarkEnd w:id="3"/>
    </w:p>
    <w:p>
      <w:pPr>
        <w:pStyle w:val="5"/>
        <w:ind w:firstLine="643"/>
      </w:pPr>
      <w:bookmarkStart w:id="4" w:name="_Toc165277222"/>
      <w:r>
        <w:rPr>
          <w:rFonts w:hint="eastAsia"/>
        </w:rPr>
        <w:t>1．项目背景、主要内容及实施情况</w:t>
      </w:r>
      <w:bookmarkEnd w:id="4"/>
    </w:p>
    <w:p>
      <w:pPr>
        <w:spacing w:line="360" w:lineRule="auto"/>
        <w:ind w:firstLine="560"/>
        <w:rPr>
          <w:rFonts w:ascii="仿宋_GB2312"/>
          <w:highlight w:val="none"/>
        </w:rPr>
      </w:pPr>
      <w:r>
        <w:rPr>
          <w:rFonts w:hint="eastAsia" w:ascii="仿宋_GB2312"/>
          <w:highlight w:val="none"/>
        </w:rPr>
        <w:t>该项目实施背景：</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highlight w:val="none"/>
        </w:rPr>
        <w:t>本次乌鲁木齐市城市安全运行监测工程（一期）项目（高风险企业</w:t>
      </w:r>
      <w:r>
        <w:rPr>
          <w:highlight w:val="none"/>
        </w:rPr>
        <w:t>专项）</w:t>
      </w:r>
      <w:r>
        <w:rPr>
          <w:rFonts w:hint="eastAsia"/>
          <w:highlight w:val="none"/>
        </w:rPr>
        <w:t>建设包括应用系统、</w:t>
      </w:r>
      <w:r>
        <w:rPr>
          <w:rFonts w:hint="eastAsia"/>
        </w:rPr>
        <w:t>图像汇聚管理系统两部分内容。</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1、应用系统：主要包括高风险企业监测预警和高风险企业安全态势可视化等系统。</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1）高风险企业监测预警主要包括基础信息管理、安全承诺管理、风险实时监测、巡查抽查管理、报警监测管理以及风险综合评估等功能，实现对企业基础信息和危化品监管信息的高效管理，实现对风险的感知、分析、预警以及评估，从而逐步提升应急管理局风险监测预警能力，提高乌鲁木齐应急管理局的事故预防能力。</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2）高风险企业安全态势可视化主要包括安全生产监测综合展示、综合风险评估综合展示、企业监测监控综合展示等功能，通过一张图可视化展示可以全面了解乌鲁木齐市高风险企业的总体安全态势，实现“风险管理、关口前移”的发展目标，确保乌鲁木齐市高风险企业安全、可靠运行。</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2、图像汇聚管理系统：主要包括图像汇聚管理系统，实现对全市4</w:t>
      </w:r>
      <w:r>
        <w:t>3</w:t>
      </w:r>
      <w:r>
        <w:rPr>
          <w:rFonts w:hint="eastAsia"/>
        </w:rPr>
        <w:t>家高风险企业（3</w:t>
      </w:r>
      <w:r>
        <w:t>9</w:t>
      </w:r>
      <w:r>
        <w:rPr>
          <w:rFonts w:hint="eastAsia"/>
        </w:rPr>
        <w:t>家危险化学品企业、4家煤矿企业）视频监控图像的统一管理。</w:t>
      </w:r>
    </w:p>
    <w:p>
      <w:pPr>
        <w:spacing w:line="360" w:lineRule="auto"/>
        <w:ind w:firstLine="560"/>
        <w:rPr>
          <w:rFonts w:ascii="仿宋_GB2312"/>
          <w:highlight w:val="none"/>
        </w:rPr>
      </w:pPr>
      <w:r>
        <w:rPr>
          <w:rFonts w:hint="eastAsia" w:ascii="仿宋_GB2312"/>
          <w:highlight w:val="none"/>
          <w:lang w:val="en-US" w:eastAsia="zh-CN"/>
        </w:rPr>
        <w:t>项目实施内容：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ighlight w:val="none"/>
        </w:rPr>
      </w:pPr>
      <w:r>
        <w:rPr>
          <w:rFonts w:hint="eastAsia" w:ascii="Times New Roman"/>
          <w:highlight w:val="none"/>
          <w:lang w:val="en-US" w:eastAsia="zh-CN"/>
        </w:rPr>
        <w:t>一是完成</w:t>
      </w:r>
      <w:r>
        <w:rPr>
          <w:rFonts w:ascii="Times New Roman"/>
          <w:highlight w:val="none"/>
        </w:rPr>
        <w:t>高风险企业安全监测系统软件建设。</w:t>
      </w:r>
      <w:r>
        <w:rPr>
          <w:rFonts w:hint="eastAsia" w:ascii="Times New Roman"/>
          <w:highlight w:val="none"/>
          <w:lang w:val="en-US" w:eastAsia="zh-CN"/>
        </w:rPr>
        <w:t>包括</w:t>
      </w:r>
      <w:r>
        <w:rPr>
          <w:rFonts w:ascii="Times New Roman"/>
          <w:highlight w:val="none"/>
        </w:rPr>
        <w:t>实现高风险企业基本信息管理、</w:t>
      </w:r>
      <w:r>
        <w:rPr>
          <w:rFonts w:hint="eastAsia" w:ascii="宋体" w:hAnsi="宋体" w:cs="宋体"/>
          <w:highlight w:val="none"/>
        </w:rPr>
        <w:t>巡查抽查</w:t>
      </w:r>
      <w:r>
        <w:rPr>
          <w:rFonts w:hint="eastAsia" w:ascii="宋体" w:hAnsi="宋体" w:cs="宋体"/>
          <w:highlight w:val="none"/>
          <w:lang w:eastAsia="zh-CN"/>
        </w:rPr>
        <w:t>、</w:t>
      </w:r>
      <w:r>
        <w:rPr>
          <w:rFonts w:hint="eastAsia" w:ascii="宋体" w:hAnsi="宋体" w:cs="宋体"/>
          <w:highlight w:val="none"/>
          <w:lang w:val="en-US" w:eastAsia="zh-CN"/>
        </w:rPr>
        <w:t>安全承诺、风险隐患、特殊作业、企业实时数据监测、视频监控、</w:t>
      </w:r>
      <w:r>
        <w:rPr>
          <w:rFonts w:ascii="Times New Roman"/>
          <w:highlight w:val="none"/>
        </w:rPr>
        <w:t>综合态势一张图</w:t>
      </w:r>
      <w:r>
        <w:rPr>
          <w:rFonts w:hint="eastAsia" w:ascii="宋体" w:hAnsi="宋体" w:cs="宋体"/>
          <w:highlight w:val="none"/>
          <w:lang w:val="en-US" w:eastAsia="zh-CN"/>
        </w:rPr>
        <w:t>等功能。</w:t>
      </w:r>
      <w:r>
        <w:rPr>
          <w:rFonts w:hint="eastAsia"/>
          <w:highlight w:val="none"/>
        </w:rPr>
        <w:t>实现各类监管数据的统计分析，综合分析安全生产整体态势，确保应急管理部门第一时间了解辖区安全生产实时风险报警信息和处置情况，实现提早预警，及时处置，全面遏制重特大事故的发生。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ighlight w:val="none"/>
        </w:rPr>
      </w:pPr>
      <w:r>
        <w:rPr>
          <w:rFonts w:ascii="Times New Roman"/>
          <w:highlight w:val="none"/>
        </w:rPr>
        <w:t>二是</w:t>
      </w:r>
      <w:r>
        <w:rPr>
          <w:rFonts w:hint="eastAsia" w:ascii="Times New Roman"/>
          <w:highlight w:val="none"/>
          <w:lang w:val="en-US" w:eastAsia="zh-CN"/>
        </w:rPr>
        <w:t>完成40</w:t>
      </w:r>
      <w:r>
        <w:rPr>
          <w:rFonts w:ascii="Times New Roman"/>
          <w:highlight w:val="none"/>
        </w:rPr>
        <w:t>家高风险企业（36家危险化学品企业、4家煤矿企业）的889个感知设备和700余台视频监控设备</w:t>
      </w:r>
      <w:r>
        <w:rPr>
          <w:rFonts w:hint="eastAsia" w:ascii="Times New Roman"/>
          <w:highlight w:val="none"/>
        </w:rPr>
        <w:t>的接入，可以做到监测设备信息的</w:t>
      </w:r>
      <w:r>
        <w:rPr>
          <w:rFonts w:hint="eastAsia"/>
          <w:highlight w:val="none"/>
        </w:rPr>
        <w:t>不间断采集和监测</w:t>
      </w:r>
      <w:r>
        <w:rPr>
          <w:rFonts w:ascii="Times New Roman"/>
          <w:highlight w:val="none"/>
        </w:rPr>
        <w:t>。</w:t>
      </w:r>
      <w:r>
        <w:rPr>
          <w:rFonts w:hint="eastAsia"/>
          <w:highlight w:val="none"/>
        </w:rPr>
        <w:t>针对高风险环节和区域，构建全域覆盖的安全生产风险感知网络，在感知数据全汇聚的基础上，提高对风险要素的感知、预测、防范能力，提高防范化解重大安全生产风险能力。</w:t>
      </w:r>
    </w:p>
    <w:p>
      <w:pPr>
        <w:keepNext w:val="0"/>
        <w:keepLines w:val="0"/>
        <w:pageBreakBefore w:val="0"/>
        <w:widowControl w:val="0"/>
        <w:kinsoku/>
        <w:wordWrap/>
        <w:overflowPunct/>
        <w:topLinePunct w:val="0"/>
        <w:autoSpaceDE/>
        <w:autoSpaceDN/>
        <w:bidi w:val="0"/>
        <w:adjustRightInd/>
        <w:snapToGrid/>
        <w:spacing w:line="360" w:lineRule="auto"/>
        <w:ind w:firstLineChars="0"/>
        <w:textAlignment w:val="auto"/>
        <w:rPr>
          <w:rFonts w:hint="eastAsia" w:ascii="Times New Roman"/>
          <w:highlight w:val="none"/>
        </w:rPr>
      </w:pPr>
      <w:r>
        <w:rPr>
          <w:rFonts w:ascii="Times New Roman"/>
          <w:highlight w:val="none"/>
        </w:rPr>
        <w:t>三是数据工程建设。针对35家企业厂区做三维建模</w:t>
      </w:r>
      <w:r>
        <w:rPr>
          <w:rFonts w:hint="eastAsia" w:ascii="Times New Roman"/>
          <w:highlight w:val="none"/>
        </w:rPr>
        <w:t>。并在三维模型上标注监测点位，更直观的查看监测设备数据。</w:t>
      </w:r>
    </w:p>
    <w:p>
      <w:pPr>
        <w:spacing w:line="360" w:lineRule="auto"/>
        <w:ind w:firstLine="560"/>
        <w:rPr>
          <w:rFonts w:ascii="仿宋_GB2312"/>
          <w:highlight w:val="none"/>
        </w:rPr>
      </w:pPr>
      <w:r>
        <w:rPr>
          <w:rFonts w:hint="eastAsia" w:ascii="仿宋_GB2312"/>
          <w:highlight w:val="none"/>
          <w:lang w:val="en-US" w:eastAsia="zh-CN"/>
        </w:rPr>
        <w:t>项目2023年</w:t>
      </w:r>
      <w:r>
        <w:rPr>
          <w:rFonts w:ascii="仿宋_GB2312"/>
          <w:highlight w:val="none"/>
        </w:rPr>
        <w:t>实际完成情况：</w:t>
      </w:r>
    </w:p>
    <w:p>
      <w:pPr>
        <w:spacing w:line="360" w:lineRule="auto"/>
        <w:ind w:firstLine="560"/>
        <w:rPr>
          <w:rFonts w:ascii="仿宋_GB2312"/>
        </w:rPr>
      </w:pPr>
      <w:r>
        <w:rPr>
          <w:rFonts w:hint="eastAsia" w:ascii="仿宋_GB2312"/>
          <w:highlight w:val="none"/>
          <w:lang w:val="en-US" w:eastAsia="zh-CN"/>
        </w:rPr>
        <w:t>项目</w:t>
      </w:r>
      <w:r>
        <w:rPr>
          <w:rFonts w:hint="eastAsia" w:ascii="仿宋_GB2312"/>
          <w:highlight w:val="none"/>
        </w:rPr>
        <w:t>共安排预算</w:t>
      </w:r>
      <w:r>
        <w:rPr>
          <w:rFonts w:hint="eastAsia" w:ascii="仿宋_GB2312"/>
          <w:highlight w:val="none"/>
          <w:lang w:val="en-US" w:eastAsia="zh-CN"/>
        </w:rPr>
        <w:t>164.45</w:t>
      </w:r>
      <w:r>
        <w:rPr>
          <w:rFonts w:hint="eastAsia" w:ascii="仿宋_GB2312"/>
          <w:highlight w:val="none"/>
        </w:rPr>
        <w:t>万元，</w:t>
      </w:r>
      <w:r>
        <w:rPr>
          <w:rFonts w:hint="eastAsia" w:ascii="仿宋_GB2312"/>
          <w:highlight w:val="none"/>
          <w:lang w:val="en-US" w:eastAsia="zh-CN"/>
        </w:rPr>
        <w:t>主要用于项目建设的验收款项，按照合同要求，项目验收后支付合同额的65%，共计164.45</w:t>
      </w:r>
      <w:r>
        <w:rPr>
          <w:rFonts w:hint="eastAsia" w:ascii="仿宋_GB2312"/>
          <w:highlight w:val="none"/>
        </w:rPr>
        <w:t>万元</w:t>
      </w:r>
      <w:r>
        <w:rPr>
          <w:rFonts w:hint="eastAsia" w:ascii="仿宋_GB2312"/>
          <w:highlight w:val="none"/>
          <w:lang w:eastAsia="zh-CN"/>
        </w:rPr>
        <w:t>。</w:t>
      </w:r>
      <w:r>
        <w:rPr>
          <w:rFonts w:hint="eastAsia" w:ascii="仿宋_GB2312"/>
          <w:lang w:val="en-US" w:eastAsia="zh-CN"/>
        </w:rPr>
        <w:t>2023年6月到位164.45万元，于11月支付164.45万元</w:t>
      </w:r>
      <w:r>
        <w:rPr>
          <w:rFonts w:hint="eastAsia" w:ascii="仿宋_GB2312"/>
        </w:rPr>
        <w:t>，预算执行率</w:t>
      </w:r>
      <w:r>
        <w:rPr>
          <w:rFonts w:hint="eastAsia" w:ascii="仿宋_GB2312"/>
          <w:lang w:val="en-US" w:eastAsia="zh-CN"/>
        </w:rPr>
        <w:t>100%</w:t>
      </w:r>
      <w:r>
        <w:rPr>
          <w:rFonts w:hint="eastAsia" w:ascii="仿宋_GB2312"/>
        </w:rPr>
        <w:t>。</w:t>
      </w:r>
    </w:p>
    <w:p>
      <w:pPr>
        <w:pStyle w:val="2"/>
        <w:ind w:left="0" w:leftChars="0" w:firstLine="0" w:firstLineChars="0"/>
        <w:jc w:val="both"/>
        <w:rPr>
          <w:rFonts w:ascii="仿宋_GB2312"/>
          <w:highlight w:val="yellow"/>
        </w:rPr>
      </w:pPr>
    </w:p>
    <w:p>
      <w:pPr>
        <w:pStyle w:val="5"/>
        <w:ind w:firstLine="643"/>
      </w:pPr>
      <w:bookmarkStart w:id="5" w:name="_Toc165277223"/>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该项目资金投入情况：经</w:t>
      </w:r>
      <w:r>
        <w:rPr>
          <w:rFonts w:hint="eastAsia" w:ascii="仿宋_GB2312"/>
          <w:lang w:eastAsia="zh-CN"/>
        </w:rPr>
        <w:t>《</w:t>
      </w:r>
      <w:r>
        <w:rPr>
          <w:rFonts w:hint="eastAsia" w:ascii="仿宋_GB2312"/>
          <w:highlight w:val="none"/>
          <w:lang w:val="en-US" w:eastAsia="zh-CN"/>
        </w:rPr>
        <w:t>关于下达拨付第八批支持城市发展专项补助资金的通知</w:t>
      </w:r>
      <w:r>
        <w:rPr>
          <w:rFonts w:hint="eastAsia" w:ascii="仿宋_GB2312"/>
          <w:lang w:eastAsia="zh-CN"/>
        </w:rPr>
        <w:t>》（</w:t>
      </w:r>
      <w:r>
        <w:rPr>
          <w:rFonts w:hint="eastAsia" w:ascii="仿宋_GB2312"/>
          <w:highlight w:val="none"/>
          <w:lang w:val="en-US" w:eastAsia="zh-CN"/>
        </w:rPr>
        <w:t>乌财建【2023】209</w:t>
      </w:r>
      <w:r>
        <w:rPr>
          <w:rFonts w:hint="eastAsia" w:ascii="仿宋_GB2312"/>
        </w:rPr>
        <w:t>号</w:t>
      </w:r>
      <w:r>
        <w:rPr>
          <w:rFonts w:hint="eastAsia" w:ascii="仿宋_GB2312"/>
          <w:lang w:eastAsia="zh-CN"/>
        </w:rPr>
        <w:t>）</w:t>
      </w:r>
      <w:r>
        <w:rPr>
          <w:rFonts w:hint="eastAsia" w:ascii="仿宋_GB2312"/>
        </w:rPr>
        <w:t>文件批准，项目系</w:t>
      </w:r>
      <w:r>
        <w:rPr>
          <w:rFonts w:ascii="仿宋_GB2312"/>
        </w:rPr>
        <w:t>2023</w:t>
      </w:r>
      <w:r>
        <w:rPr>
          <w:rFonts w:hint="eastAsia" w:ascii="仿宋_GB2312"/>
        </w:rPr>
        <w:t>年本级资金，共安排预算</w:t>
      </w:r>
      <w:r>
        <w:rPr>
          <w:rFonts w:hint="eastAsia" w:ascii="仿宋_GB2312"/>
          <w:lang w:val="en-US" w:eastAsia="zh-CN"/>
        </w:rPr>
        <w:t>164.45</w:t>
      </w:r>
      <w:r>
        <w:rPr>
          <w:rFonts w:hint="eastAsia" w:ascii="仿宋_GB2312"/>
        </w:rPr>
        <w:t>万元，于202</w:t>
      </w:r>
      <w:r>
        <w:rPr>
          <w:rFonts w:ascii="仿宋_GB2312"/>
        </w:rPr>
        <w:t>3</w:t>
      </w:r>
      <w:r>
        <w:rPr>
          <w:rFonts w:hint="eastAsia" w:ascii="仿宋_GB2312"/>
        </w:rPr>
        <w:t>年年中追加部分预算批复项目，年中</w:t>
      </w:r>
      <w:r>
        <w:rPr>
          <w:rFonts w:hint="eastAsia" w:ascii="仿宋_GB2312"/>
          <w:lang w:val="en-US" w:eastAsia="zh-CN"/>
        </w:rPr>
        <w:t>没有</w:t>
      </w:r>
      <w:r>
        <w:rPr>
          <w:rFonts w:hint="eastAsia" w:ascii="仿宋_GB2312"/>
        </w:rPr>
        <w:t>对资金进行调增、调减。</w:t>
      </w:r>
    </w:p>
    <w:p>
      <w:pPr>
        <w:spacing w:line="360" w:lineRule="auto"/>
        <w:ind w:firstLine="560"/>
        <w:rPr>
          <w:rFonts w:ascii="仿宋_GB2312"/>
        </w:rPr>
      </w:pPr>
      <w:r>
        <w:rPr>
          <w:rFonts w:hint="eastAsia" w:ascii="仿宋_GB2312"/>
        </w:rPr>
        <w:t>该项目资金使用情况：</w:t>
      </w:r>
      <w:r>
        <w:rPr>
          <w:rFonts w:hint="eastAsia" w:ascii="仿宋_GB2312"/>
          <w:lang w:val="en-US" w:eastAsia="zh-CN"/>
        </w:rPr>
        <w:t>项目</w:t>
      </w:r>
      <w:r>
        <w:rPr>
          <w:rFonts w:hint="eastAsia" w:ascii="仿宋_GB2312"/>
        </w:rPr>
        <w:t>共安排预算</w:t>
      </w:r>
      <w:r>
        <w:rPr>
          <w:rFonts w:hint="eastAsia" w:ascii="仿宋_GB2312"/>
          <w:lang w:val="en-US" w:eastAsia="zh-CN"/>
        </w:rPr>
        <w:t>164.45</w:t>
      </w:r>
      <w:r>
        <w:rPr>
          <w:rFonts w:hint="eastAsia" w:ascii="仿宋_GB2312"/>
        </w:rPr>
        <w:t>万元，</w:t>
      </w:r>
      <w:r>
        <w:rPr>
          <w:rFonts w:hint="eastAsia" w:ascii="仿宋_GB2312"/>
          <w:highlight w:val="none"/>
          <w:lang w:val="en-US" w:eastAsia="zh-CN"/>
        </w:rPr>
        <w:t>主要用于项目建设的验收款项，按照合同要求，项目验收后支付合同额的65%，共计164.45</w:t>
      </w:r>
      <w:r>
        <w:rPr>
          <w:rFonts w:hint="eastAsia" w:ascii="仿宋_GB2312"/>
          <w:highlight w:val="none"/>
        </w:rPr>
        <w:t>万元</w:t>
      </w:r>
      <w:r>
        <w:rPr>
          <w:rFonts w:hint="eastAsia" w:ascii="仿宋_GB2312"/>
          <w:highlight w:val="none"/>
          <w:lang w:eastAsia="zh-CN"/>
        </w:rPr>
        <w:t>。</w:t>
      </w:r>
      <w:r>
        <w:rPr>
          <w:rFonts w:hint="eastAsia" w:ascii="仿宋_GB2312"/>
          <w:lang w:val="en-US" w:eastAsia="zh-CN"/>
        </w:rPr>
        <w:t>2023年6月到位164.45万元，于11月支付164.45万元</w:t>
      </w:r>
      <w:r>
        <w:rPr>
          <w:rFonts w:hint="eastAsia" w:ascii="仿宋_GB2312"/>
        </w:rPr>
        <w:t>，预算执行率</w:t>
      </w:r>
      <w:r>
        <w:rPr>
          <w:rFonts w:hint="eastAsia" w:ascii="仿宋_GB2312"/>
          <w:lang w:val="en-US" w:eastAsia="zh-CN"/>
        </w:rPr>
        <w:t>100%</w:t>
      </w:r>
      <w:r>
        <w:rPr>
          <w:rFonts w:hint="eastAsia" w:ascii="仿宋_GB2312"/>
        </w:rPr>
        <w:t>。</w:t>
      </w:r>
    </w:p>
    <w:p>
      <w:pPr>
        <w:pStyle w:val="4"/>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该项目为跨年项目</w:t>
      </w:r>
      <w:r>
        <w:rPr>
          <w:rFonts w:ascii="仿宋_GB2312" w:hAnsi="仿宋"/>
          <w:szCs w:val="28"/>
        </w:rPr>
        <w:t>。</w:t>
      </w:r>
    </w:p>
    <w:p>
      <w:pPr>
        <w:spacing w:line="360" w:lineRule="auto"/>
        <w:ind w:firstLine="560"/>
        <w:rPr>
          <w:rFonts w:hint="eastAsia" w:ascii="仿宋_GB2312" w:hAnsi="仿宋"/>
          <w:szCs w:val="28"/>
        </w:rPr>
      </w:pPr>
      <w:r>
        <w:rPr>
          <w:rFonts w:hint="eastAsia" w:ascii="仿宋_GB2312" w:hAnsi="仿宋"/>
          <w:szCs w:val="28"/>
        </w:rPr>
        <w:t>该项目总体绩效目标：</w:t>
      </w:r>
    </w:p>
    <w:p>
      <w:pPr>
        <w:spacing w:line="360" w:lineRule="auto"/>
        <w:ind w:firstLine="560"/>
        <w:rPr>
          <w:rFonts w:hint="eastAsia"/>
          <w:lang w:val="en-US" w:eastAsia="zh-CN"/>
        </w:rPr>
      </w:pPr>
      <w:r>
        <w:rPr>
          <w:rFonts w:hint="eastAsia"/>
          <w:lang w:val="en-US" w:eastAsia="zh-CN"/>
        </w:rPr>
        <w:t>完成</w:t>
      </w:r>
      <w:r>
        <w:rPr>
          <w:rFonts w:hint="eastAsia"/>
        </w:rPr>
        <w:t>高风险企业监测预警</w:t>
      </w:r>
      <w:r>
        <w:rPr>
          <w:rFonts w:hint="eastAsia"/>
          <w:lang w:val="en-US" w:eastAsia="zh-CN"/>
        </w:rPr>
        <w:t>系统、</w:t>
      </w:r>
      <w:r>
        <w:rPr>
          <w:rFonts w:hint="eastAsia"/>
        </w:rPr>
        <w:t>高风险企业安全态势可视化</w:t>
      </w:r>
      <w:r>
        <w:rPr>
          <w:rFonts w:hint="eastAsia"/>
          <w:lang w:val="en-US" w:eastAsia="zh-CN"/>
        </w:rPr>
        <w:t>系、</w:t>
      </w:r>
      <w:r>
        <w:rPr>
          <w:rFonts w:hint="eastAsia"/>
        </w:rPr>
        <w:t>图像汇聚管理系统</w:t>
      </w:r>
      <w:r>
        <w:rPr>
          <w:rFonts w:hint="eastAsia"/>
          <w:lang w:val="en-US" w:eastAsia="zh-CN"/>
        </w:rPr>
        <w:t>的建设，以及与企业的监测数据、视频监控的对接。</w:t>
      </w:r>
    </w:p>
    <w:p>
      <w:pPr>
        <w:spacing w:line="360" w:lineRule="auto"/>
        <w:ind w:firstLine="560"/>
        <w:rPr>
          <w:rFonts w:hint="default"/>
          <w:lang w:val="en-US" w:eastAsia="zh-CN"/>
        </w:rPr>
      </w:pPr>
      <w:r>
        <w:rPr>
          <w:rFonts w:hint="eastAsia"/>
          <w:lang w:val="en-US" w:eastAsia="zh-CN"/>
        </w:rPr>
        <w:t>项目的建设</w:t>
      </w:r>
      <w:r>
        <w:rPr>
          <w:rFonts w:hint="eastAsia"/>
        </w:rPr>
        <w:t>有效提升乌鲁木齐市应急管理信息化的应用水平，为灾害事故防范和抢险救援提供基础性、综合性、战略性保障支撑能力，具有重要建设意义和必要性。</w:t>
      </w:r>
    </w:p>
    <w:p>
      <w:pPr>
        <w:spacing w:line="360" w:lineRule="auto"/>
        <w:ind w:firstLine="560"/>
        <w:rPr>
          <w:rFonts w:ascii="仿宋_GB2312" w:hAnsi="仿宋"/>
          <w:szCs w:val="28"/>
        </w:rPr>
      </w:pPr>
      <w:r>
        <w:rPr>
          <w:rFonts w:ascii="仿宋_GB2312" w:hAnsi="仿宋"/>
          <w:szCs w:val="28"/>
        </w:rPr>
        <w:t>该项目阶段性目标为：</w:t>
      </w:r>
    </w:p>
    <w:p>
      <w:pPr>
        <w:spacing w:line="360" w:lineRule="auto"/>
        <w:ind w:firstLine="560"/>
        <w:rPr>
          <w:rFonts w:hint="default" w:ascii="仿宋_GB2312" w:hAnsi="仿宋"/>
          <w:szCs w:val="28"/>
          <w:lang w:val="en-US"/>
        </w:rPr>
      </w:pPr>
      <w:r>
        <w:rPr>
          <w:rFonts w:hint="eastAsia" w:ascii="仿宋_GB2312" w:hAnsi="仿宋"/>
          <w:szCs w:val="28"/>
        </w:rPr>
        <w:t>在2</w:t>
      </w:r>
      <w:r>
        <w:rPr>
          <w:rFonts w:ascii="仿宋_GB2312" w:hAnsi="仿宋"/>
          <w:szCs w:val="28"/>
        </w:rPr>
        <w:t>023年</w:t>
      </w:r>
      <w:r>
        <w:rPr>
          <w:rFonts w:hint="eastAsia" w:ascii="仿宋_GB2312" w:hAnsi="仿宋"/>
          <w:szCs w:val="28"/>
        </w:rPr>
        <w:t>计划完成</w:t>
      </w:r>
      <w:r>
        <w:rPr>
          <w:rFonts w:hint="eastAsia" w:ascii="仿宋_GB2312" w:hAnsi="仿宋"/>
          <w:szCs w:val="28"/>
          <w:lang w:val="en-US" w:eastAsia="zh-CN"/>
        </w:rPr>
        <w:t>系统试运行，为相关业务处室、企业用户提供系统培训和使用支持。根据使用者反馈的相关系统问题和优化建议，完成系统相关的优化升级。并且在试运行期间，完成等保测试、第三方软测、密评等工作。</w:t>
      </w:r>
    </w:p>
    <w:p>
      <w:pPr>
        <w:pStyle w:val="3"/>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pPr>
        <w:pStyle w:val="4"/>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5"/>
        <w:ind w:firstLine="643"/>
      </w:pPr>
      <w:bookmarkStart w:id="13" w:name="_Toc165277227"/>
      <w:r>
        <w:rPr>
          <w:rFonts w:hint="eastAsia"/>
        </w:rPr>
        <w:t>1</w:t>
      </w:r>
      <w:r>
        <w:t>.绩效评价完整性</w:t>
      </w:r>
      <w:bookmarkEnd w:id="1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val="en-US" w:eastAsia="zh-CN"/>
        </w:rPr>
      </w:pPr>
      <w:r>
        <w:rPr>
          <w:rFonts w:hint="eastAsia"/>
          <w:highlight w:val="none"/>
          <w:lang w:val="en-US" w:eastAsia="zh-CN"/>
        </w:rPr>
        <w:t>项目</w:t>
      </w:r>
      <w:r>
        <w:rPr>
          <w:rFonts w:hint="eastAsia"/>
          <w:highlight w:val="none"/>
        </w:rPr>
        <w:t>以乌鲁木齐市应急管理局职能定位为依据，提升危险化学品、煤矿安全监管的信息化、网络化、智能化水平，推动部门监管责任和企业主体责任落实到位，有效化解重大安全风险、遏制重特大事故，构建系统化、扁平化、立体化、智能化的现代应急管理体系。</w:t>
      </w:r>
      <w:r>
        <w:rPr>
          <w:rFonts w:hint="eastAsia"/>
          <w:highlight w:val="none"/>
          <w:lang w:val="en-US" w:eastAsia="zh-CN"/>
        </w:rPr>
        <w:t>主要建设</w:t>
      </w:r>
      <w:r>
        <w:rPr>
          <w:rFonts w:hint="eastAsia"/>
          <w:highlight w:val="none"/>
        </w:rPr>
        <w:t>风险企业监测预警</w:t>
      </w:r>
      <w:r>
        <w:rPr>
          <w:rFonts w:hint="eastAsia"/>
          <w:highlight w:val="none"/>
          <w:lang w:val="en-US" w:eastAsia="zh-CN"/>
        </w:rPr>
        <w:t>系统、</w:t>
      </w:r>
      <w:r>
        <w:rPr>
          <w:rFonts w:hint="eastAsia"/>
          <w:highlight w:val="none"/>
        </w:rPr>
        <w:t>高风险企业安全态势可视化</w:t>
      </w:r>
      <w:r>
        <w:rPr>
          <w:rFonts w:hint="eastAsia"/>
          <w:highlight w:val="none"/>
          <w:lang w:val="en-US" w:eastAsia="zh-CN"/>
        </w:rPr>
        <w:t>系、</w:t>
      </w:r>
      <w:r>
        <w:rPr>
          <w:rFonts w:hint="eastAsia"/>
          <w:highlight w:val="none"/>
        </w:rPr>
        <w:t>图像汇聚管理系统</w:t>
      </w:r>
      <w:r>
        <w:rPr>
          <w:rFonts w:hint="eastAsia"/>
          <w:highlight w:val="none"/>
          <w:lang w:val="en-US" w:eastAsia="zh-CN"/>
        </w:rPr>
        <w:t>的建设三大系统，并且完成企业监测数据和监控视频的接入。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highlight w:val="none"/>
          <w:lang w:val="en-US" w:eastAsia="zh-CN"/>
        </w:rPr>
      </w:pPr>
      <w:r>
        <w:rPr>
          <w:rFonts w:hint="eastAsia"/>
          <w:highlight w:val="none"/>
          <w:lang w:val="en-US" w:eastAsia="zh-CN"/>
        </w:rPr>
        <w:t>项目的目标、范围、要求可以通过绩效评价指标体系完整地体现。设置的指标软件实施人员数量、接入企业数量、系统故障修复率、平均故障修复时间、实现监测数据的实时接入、企业风险的综合分析、实现后期新进企业的统一规范、企业满意度等指标均按照目标值完成，能很好的验证项目的进展情况，所提供的佐证材料来源真实有效，能够准确体现项目完成进度。</w:t>
      </w:r>
    </w:p>
    <w:p>
      <w:pPr>
        <w:pStyle w:val="5"/>
        <w:ind w:firstLine="643"/>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市城市安全运行监测工程（一期）项目（高风险企业专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ind w:firstLine="643"/>
      </w:pPr>
      <w:bookmarkStart w:id="15" w:name="_Toc165277229"/>
      <w:r>
        <w:t>3</w:t>
      </w:r>
      <w:r>
        <w:rPr>
          <w:rFonts w:hint="eastAsia"/>
        </w:rPr>
        <w:t>.评价对象</w:t>
      </w:r>
      <w:bookmarkEnd w:id="15"/>
    </w:p>
    <w:p>
      <w:pPr>
        <w:spacing w:line="360" w:lineRule="auto"/>
        <w:ind w:firstLine="560"/>
        <w:rPr>
          <w:rFonts w:hint="eastAsia" w:ascii="仿宋_GB2312"/>
        </w:rPr>
      </w:pPr>
      <w:r>
        <w:rPr>
          <w:rFonts w:hint="eastAsia" w:ascii="仿宋_GB2312"/>
        </w:rPr>
        <w:t>（1）绩效评价的对象：乌鲁木齐市城市安全运行监测工程（一期）项目（高风险企业专项）</w:t>
      </w:r>
    </w:p>
    <w:p>
      <w:pPr>
        <w:pStyle w:val="5"/>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0"/>
        <w:rPr>
          <w:rStyle w:val="22"/>
        </w:rPr>
      </w:pPr>
      <w:r>
        <w:rPr>
          <w:rFonts w:ascii="仿宋_GB2312"/>
        </w:rPr>
        <w:t>2.</w:t>
      </w:r>
      <w:r>
        <w:rPr>
          <w:rFonts w:hint="eastAsia" w:ascii="仿宋_GB2312"/>
        </w:rPr>
        <w:t>项目范围：</w:t>
      </w:r>
    </w:p>
    <w:p>
      <w:pPr>
        <w:spacing w:line="360" w:lineRule="auto"/>
        <w:ind w:firstLine="560"/>
        <w:rPr>
          <w:rFonts w:hint="eastAsia" w:ascii="仿宋_GB2312"/>
          <w:lang w:val="en-US" w:eastAsia="zh-CN"/>
        </w:rPr>
      </w:pPr>
      <w:r>
        <w:rPr>
          <w:rFonts w:hint="eastAsia" w:ascii="仿宋_GB2312"/>
          <w:lang w:val="en-US" w:eastAsia="zh-CN"/>
        </w:rPr>
        <w:t>项目按照自治区党委“3+1”工作部署，贯彻落实自治区第十次党代会精神，市委深入推进数字首府建设，加快城市运行管理中心“一网统管”数字化建设工作的要求，并充分考虑了乌鲁木齐是应急管理局自身信息化系统建设的需求。项目规划合规，投资合理，实施过程基本可控。项目执行过程中，因疫情原因，试运行阶段比计划延期五个月。但项目原定目标全部达成，项目的目标、范围、要求可以通过绩效评价指标体系完整地体现，没有产生大的偏离。</w:t>
      </w:r>
    </w:p>
    <w:p>
      <w:pPr>
        <w:spacing w:line="360" w:lineRule="auto"/>
        <w:ind w:firstLine="560"/>
        <w:rPr>
          <w:rFonts w:hint="eastAsia" w:ascii="仿宋_GB2312"/>
          <w:lang w:val="en-US" w:eastAsia="zh-CN"/>
        </w:rPr>
      </w:pPr>
      <w:r>
        <w:rPr>
          <w:rFonts w:hint="eastAsia" w:ascii="仿宋_GB2312"/>
          <w:lang w:val="en-US" w:eastAsia="zh-CN"/>
        </w:rPr>
        <w:t>通过对目前的系统试运行结果来看，此系统能很好的支撑了乌鲁木齐市应急管理局高风险企业安全监管业务，大大提高了政府工作的效率。更加直观、便捷的检索和查看相关的信息。通过系统上报的数据比之前的手工上报不仅缩短了上报时间，也提高了上报数据的准确性和时效性。</w:t>
      </w:r>
    </w:p>
    <w:p>
      <w:pPr>
        <w:spacing w:line="360" w:lineRule="auto"/>
        <w:ind w:firstLine="560"/>
        <w:rPr>
          <w:rFonts w:hint="eastAsia" w:ascii="仿宋_GB2312"/>
          <w:highlight w:val="none"/>
          <w:lang w:val="en-US" w:eastAsia="zh-CN"/>
        </w:rPr>
      </w:pPr>
      <w:r>
        <w:rPr>
          <w:rFonts w:hint="eastAsia" w:ascii="仿宋_GB2312"/>
          <w:highlight w:val="none"/>
          <w:lang w:val="en-US" w:eastAsia="zh-CN"/>
        </w:rPr>
        <w:t>主要经验做法：</w:t>
      </w:r>
    </w:p>
    <w:p>
      <w:pPr>
        <w:spacing w:line="360" w:lineRule="auto"/>
        <w:ind w:firstLine="560"/>
        <w:rPr>
          <w:rFonts w:hint="default" w:ascii="仿宋_GB2312"/>
          <w:highlight w:val="none"/>
          <w:lang w:val="en-US" w:eastAsia="zh-CN"/>
        </w:rPr>
      </w:pPr>
      <w:r>
        <w:rPr>
          <w:rFonts w:hint="eastAsia" w:ascii="仿宋_GB2312"/>
          <w:highlight w:val="none"/>
          <w:lang w:val="en-US" w:eastAsia="zh-CN"/>
        </w:rPr>
        <w:t>在系统上线过程中，出现调研数据项与实际数据项不一致的情况，导致在项目上线后部分数据项没有数据，为了能够使界面展示能够更美观，用户希望将没有数据的数据项去掉，结果去掉后没有多久，这部分数据项的数据就协调到位了，还需要将这部分数据项显示出来，这个事件说明，我们在需求控制和系统设计部分都存在一定的问题，没有控制住用户需求，没有充分考虑到数据项不到位对项目的风险，后续在系统设计过程中，需要多考虑相关问题。</w:t>
      </w:r>
    </w:p>
    <w:p>
      <w:pPr>
        <w:spacing w:line="360" w:lineRule="auto"/>
        <w:ind w:firstLine="560"/>
        <w:rPr>
          <w:rFonts w:hint="eastAsia" w:ascii="仿宋_GB2312"/>
          <w:highlight w:val="none"/>
          <w:lang w:val="en-US" w:eastAsia="zh-CN"/>
        </w:rPr>
      </w:pPr>
      <w:r>
        <w:rPr>
          <w:rFonts w:hint="eastAsia" w:ascii="仿宋_GB2312"/>
          <w:highlight w:val="none"/>
          <w:lang w:val="en-US" w:eastAsia="zh-CN"/>
        </w:rPr>
        <w:t>存在的主要问题及原因分析：</w:t>
      </w:r>
    </w:p>
    <w:p>
      <w:pPr>
        <w:spacing w:line="360" w:lineRule="auto"/>
        <w:ind w:firstLine="560"/>
        <w:rPr>
          <w:rFonts w:hint="eastAsia" w:ascii="仿宋_GB2312"/>
          <w:highlight w:val="none"/>
          <w:lang w:val="en-US" w:eastAsia="zh-CN"/>
        </w:rPr>
      </w:pPr>
      <w:r>
        <w:rPr>
          <w:rFonts w:hint="eastAsia" w:ascii="仿宋_GB2312"/>
          <w:highlight w:val="none"/>
          <w:lang w:val="en-US" w:eastAsia="zh-CN"/>
        </w:rPr>
        <w:t>项目执行过程中对于需求变更的管理相对不足，没有留下明确的管理痕迹，会导致变更内容产生争议，说明我们在需求控制和系统设计部分都存在一定的问题，没有控制住用户需求，没有充分考虑到数据项不到位对项目的风险。</w:t>
      </w:r>
    </w:p>
    <w:p>
      <w:pPr>
        <w:spacing w:line="360" w:lineRule="auto"/>
        <w:ind w:firstLine="560"/>
        <w:rPr>
          <w:rFonts w:hint="eastAsia" w:ascii="仿宋_GB2312"/>
          <w:highlight w:val="none"/>
          <w:lang w:eastAsia="zh-CN"/>
        </w:rPr>
      </w:pPr>
      <w:r>
        <w:rPr>
          <w:rFonts w:hint="eastAsia" w:ascii="仿宋_GB2312"/>
          <w:highlight w:val="none"/>
          <w:lang w:val="en-US" w:eastAsia="zh-CN"/>
        </w:rPr>
        <w:t>后期我们将采用周报、项目例会等沟通方式，集思广益，达到良好的沟通效果，沟通结果也会被存档备案，有较强的约束力，且可以作为日后项目验收和查找问题责任的依据。通过不断完善和改进，</w:t>
      </w:r>
      <w:r>
        <w:rPr>
          <w:rFonts w:hint="eastAsia" w:ascii="仿宋_GB2312"/>
          <w:highlight w:val="none"/>
        </w:rPr>
        <w:t>有效提升乌鲁木齐市应急管理信息化的应用水平，为灾害事故防范和抢险救援提供基础性、综合性、战略性保障支撑能力</w:t>
      </w:r>
      <w:r>
        <w:rPr>
          <w:rFonts w:hint="eastAsia" w:ascii="仿宋_GB2312"/>
          <w:highlight w:val="none"/>
          <w:lang w:eastAsia="zh-CN"/>
        </w:rPr>
        <w:t>。</w:t>
      </w:r>
    </w:p>
    <w:p>
      <w:pPr>
        <w:pStyle w:val="2"/>
        <w:jc w:val="both"/>
        <w:rPr>
          <w:rFonts w:hint="default" w:ascii="仿宋_GB2312" w:hAnsi="Calibri" w:eastAsia="仿宋_GB2312" w:cs="黑体"/>
          <w:kern w:val="2"/>
          <w:sz w:val="28"/>
          <w:szCs w:val="22"/>
          <w:highlight w:val="none"/>
          <w:lang w:val="en-US" w:eastAsia="zh-CN" w:bidi="ar-SA"/>
        </w:rPr>
      </w:pPr>
      <w:r>
        <w:rPr>
          <w:rFonts w:hint="eastAsia" w:ascii="仿宋_GB2312" w:hAnsi="Calibri" w:eastAsia="仿宋_GB2312" w:cs="黑体"/>
          <w:kern w:val="2"/>
          <w:sz w:val="28"/>
          <w:szCs w:val="22"/>
          <w:highlight w:val="none"/>
          <w:lang w:val="en-US" w:eastAsia="zh-CN" w:bidi="ar-SA"/>
        </w:rPr>
        <w:t>项目开展情况整体良好。</w:t>
      </w:r>
    </w:p>
    <w:p>
      <w:pPr>
        <w:pStyle w:val="2"/>
        <w:rPr>
          <w:rFonts w:hint="eastAsia" w:ascii="仿宋_GB2312" w:hAnsi="Calibri" w:eastAsia="仿宋_GB2312" w:cs="黑体"/>
          <w:kern w:val="2"/>
          <w:sz w:val="28"/>
          <w:szCs w:val="22"/>
          <w:highlight w:val="yellow"/>
          <w:lang w:val="en-US" w:eastAsia="zh-CN" w:bidi="ar-SA"/>
        </w:rPr>
      </w:pPr>
    </w:p>
    <w:p>
      <w:pPr>
        <w:pStyle w:val="2"/>
      </w:pPr>
    </w:p>
    <w:p>
      <w:pPr>
        <w:pStyle w:val="4"/>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pPr>
        <w:pStyle w:val="5"/>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5"/>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8"/>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97"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软件实施人员数量</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接入企业数量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系统故障修复率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w:t>
            </w:r>
            <w:r>
              <w:rPr>
                <w:rFonts w:hint="eastAsia" w:ascii="宋体" w:hAnsi="宋体" w:eastAsia="宋体" w:cs="宋体"/>
                <w:color w:val="000000"/>
                <w:kern w:val="0"/>
                <w:sz w:val="22"/>
                <w:highlight w:val="none"/>
                <w:lang w:val="en-US" w:eastAsia="zh-CN"/>
              </w:rPr>
              <w:t>故障修复次</w:t>
            </w:r>
            <w:r>
              <w:rPr>
                <w:rFonts w:hint="eastAsia" w:ascii="宋体" w:hAnsi="宋体" w:eastAsia="宋体" w:cs="宋体"/>
                <w:color w:val="000000"/>
                <w:kern w:val="0"/>
                <w:sz w:val="22"/>
                <w:highlight w:val="none"/>
              </w:rPr>
              <w:t>数与实际</w:t>
            </w:r>
            <w:r>
              <w:rPr>
                <w:rFonts w:hint="eastAsia" w:ascii="宋体" w:hAnsi="宋体" w:eastAsia="宋体" w:cs="宋体"/>
                <w:color w:val="000000"/>
                <w:kern w:val="0"/>
                <w:sz w:val="22"/>
                <w:highlight w:val="none"/>
                <w:lang w:val="en-US" w:eastAsia="zh-CN"/>
              </w:rPr>
              <w:t>故障发生</w:t>
            </w:r>
            <w:r>
              <w:rPr>
                <w:rFonts w:hint="eastAsia" w:ascii="宋体" w:hAnsi="宋体" w:eastAsia="宋体" w:cs="宋体"/>
                <w:color w:val="000000"/>
                <w:kern w:val="0"/>
                <w:sz w:val="22"/>
                <w:highlight w:val="none"/>
              </w:rPr>
              <w:t>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系统故障修复率=（</w:t>
            </w:r>
            <w:r>
              <w:rPr>
                <w:rFonts w:hint="eastAsia" w:ascii="宋体" w:hAnsi="宋体" w:eastAsia="宋体" w:cs="宋体"/>
                <w:color w:val="000000"/>
                <w:kern w:val="0"/>
                <w:sz w:val="22"/>
                <w:highlight w:val="none"/>
                <w:lang w:val="en-US" w:eastAsia="zh-CN"/>
              </w:rPr>
              <w:t>故障修复次数</w:t>
            </w:r>
            <w:r>
              <w:rPr>
                <w:rFonts w:hint="eastAsia" w:ascii="宋体" w:hAnsi="宋体" w:eastAsia="宋体" w:cs="宋体"/>
                <w:color w:val="000000"/>
                <w:kern w:val="0"/>
                <w:sz w:val="22"/>
                <w:highlight w:val="none"/>
              </w:rPr>
              <w:t>/实际</w:t>
            </w:r>
            <w:r>
              <w:rPr>
                <w:rFonts w:hint="eastAsia" w:ascii="宋体" w:hAnsi="宋体" w:eastAsia="宋体" w:cs="宋体"/>
                <w:color w:val="000000"/>
                <w:kern w:val="0"/>
                <w:sz w:val="22"/>
                <w:highlight w:val="none"/>
                <w:lang w:val="en-US" w:eastAsia="zh-CN"/>
              </w:rPr>
              <w:t>故障发生次数</w:t>
            </w:r>
            <w:r>
              <w:rPr>
                <w:rFonts w:hint="eastAsia" w:ascii="宋体" w:hAnsi="宋体" w:eastAsia="宋体" w:cs="宋体"/>
                <w:color w:val="000000"/>
                <w:kern w:val="0"/>
                <w:sz w:val="22"/>
                <w:highlight w:val="none"/>
              </w:rPr>
              <w:t>）×100%。</w:t>
            </w:r>
          </w:p>
          <w:p>
            <w:pPr>
              <w:widowControl/>
              <w:ind w:firstLine="0" w:firstLineChars="0"/>
              <w:rPr>
                <w:rFonts w:ascii="宋体" w:hAnsi="宋体" w:eastAsia="宋体" w:cs="宋体"/>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平均故障修复时间</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6" w:hRule="atLeast"/>
          <w:jc w:val="center"/>
        </w:trPr>
        <w:tc>
          <w:tcPr>
            <w:tcW w:w="1155"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预算执行率</w:t>
            </w:r>
          </w:p>
        </w:tc>
        <w:tc>
          <w:tcPr>
            <w:tcW w:w="2789"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项目实施所产生的</w:t>
            </w:r>
            <w:r>
              <w:rPr>
                <w:rFonts w:hint="eastAsia" w:ascii="宋体" w:hAnsi="宋体" w:eastAsia="宋体" w:cs="宋体"/>
                <w:color w:val="000000"/>
                <w:kern w:val="0"/>
                <w:sz w:val="22"/>
                <w:lang w:val="en-US" w:eastAsia="zh-CN"/>
              </w:rPr>
              <w:t>成本</w:t>
            </w:r>
            <w:r>
              <w:rPr>
                <w:rFonts w:hint="eastAsia" w:ascii="宋体" w:hAnsi="宋体" w:eastAsia="宋体" w:cs="宋体"/>
                <w:color w:val="000000"/>
                <w:kern w:val="0"/>
                <w:sz w:val="22"/>
              </w:rPr>
              <w:t>。</w:t>
            </w:r>
          </w:p>
        </w:tc>
        <w:tc>
          <w:tcPr>
            <w:tcW w:w="7341"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项目实施所产生的</w:t>
            </w:r>
            <w:r>
              <w:rPr>
                <w:rFonts w:hint="eastAsia" w:ascii="宋体" w:hAnsi="宋体" w:eastAsia="宋体" w:cs="宋体"/>
                <w:color w:val="000000"/>
                <w:kern w:val="0"/>
                <w:sz w:val="22"/>
                <w:lang w:val="en-US" w:eastAsia="zh-CN"/>
              </w:rPr>
              <w:t>成本</w:t>
            </w:r>
            <w:r>
              <w:rPr>
                <w:rFonts w:hint="eastAsia" w:ascii="宋体" w:hAnsi="宋体" w:eastAsia="宋体" w:cs="宋体"/>
                <w:color w:val="000000"/>
                <w:kern w:val="0"/>
                <w:sz w:val="22"/>
              </w:rPr>
              <w:t>。可根据项目实际情况有选择地设置和细化</w:t>
            </w:r>
            <w:r>
              <w:rPr>
                <w:rFonts w:hint="eastAsia" w:ascii="宋体" w:hAnsi="宋体" w:eastAsia="宋体" w:cs="宋体"/>
                <w:color w:val="000000"/>
                <w:kern w:val="0"/>
                <w:sz w:val="22"/>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0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实现监测数据的实时接入、企业风险的综合分析</w:t>
            </w:r>
          </w:p>
        </w:tc>
        <w:tc>
          <w:tcPr>
            <w:tcW w:w="2789" w:type="dxa"/>
            <w:vMerge w:val="restart"/>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vMerge w:val="restart"/>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实现后期新进企业的统一规范</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98"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企业</w:t>
            </w:r>
            <w:r>
              <w:rPr>
                <w:rFonts w:hint="eastAsia" w:ascii="宋体" w:hAnsi="宋体" w:eastAsia="宋体" w:cs="宋体"/>
                <w:color w:val="000000"/>
                <w:kern w:val="0"/>
                <w:sz w:val="22"/>
                <w:highlight w:val="none"/>
              </w:rPr>
              <w:t>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both"/>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乌鲁木齐市城市安全运行监测工程（一期）项目（高风险企业专项））的特点，本次评价主要采用比较法和公众评判法，对项目总预算和明细预算的内容、标准、计划是否经济合理进行深入分析，以考察实际产出和效益是否达到预期。</w:t>
      </w:r>
    </w:p>
    <w:p>
      <w:pPr>
        <w:pStyle w:val="5"/>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pPr>
        <w:spacing w:line="360" w:lineRule="auto"/>
        <w:ind w:firstLine="560"/>
        <w:rPr>
          <w:rFonts w:hint="eastAsia" w:ascii="仿宋_GB2312"/>
        </w:rPr>
      </w:pPr>
      <w:bookmarkStart w:id="25" w:name="_Toc67911607"/>
      <w:bookmarkStart w:id="26" w:name="_Toc165277236"/>
      <w:r>
        <w:rPr>
          <w:rFonts w:hint="eastAsia" w:ascii="仿宋_GB2312"/>
        </w:rPr>
        <w:t>《中华人民共和国突发事件应对法》 (由中华人民共和国第十届全国 人民代表大会常务委员会第二十九次会议于 2007 年 8 月 30 日通过，自 2007 年 11 月 1 日起施行)；</w:t>
      </w:r>
    </w:p>
    <w:p>
      <w:pPr>
        <w:spacing w:line="360" w:lineRule="auto"/>
        <w:ind w:firstLine="560"/>
        <w:rPr>
          <w:rFonts w:hint="eastAsia" w:ascii="仿宋_GB2312"/>
        </w:rPr>
      </w:pPr>
      <w:r>
        <w:rPr>
          <w:rFonts w:hint="eastAsia" w:ascii="仿宋_GB2312"/>
        </w:rPr>
        <w:t xml:space="preserve"> 《中华人民共和国安全生产法》 (2021 年 6 月 10 日，中华人民共 和国第十三届全国人民代表大会常务委员会第二十九次会议通过《全国人民代 表大会常务委员会关于修改〈中华人民共和国安全生产法〉的决定》，自 2021 年 9 月 1 日起施行)；</w:t>
      </w:r>
    </w:p>
    <w:p>
      <w:pPr>
        <w:spacing w:line="360" w:lineRule="auto"/>
        <w:ind w:firstLine="560"/>
        <w:rPr>
          <w:rFonts w:hint="eastAsia" w:ascii="仿宋_GB2312"/>
        </w:rPr>
        <w:sectPr>
          <w:footerReference r:id="rId12" w:type="default"/>
          <w:type w:val="continuous"/>
          <w:pgSz w:w="11907" w:h="16839"/>
          <w:pgMar w:top="1431" w:right="1785" w:bottom="1151" w:left="1785" w:header="0" w:footer="990" w:gutter="0"/>
          <w:cols w:space="720" w:num="1"/>
        </w:sectPr>
      </w:pPr>
    </w:p>
    <w:p>
      <w:pPr>
        <w:spacing w:line="360" w:lineRule="auto"/>
        <w:ind w:firstLine="560"/>
        <w:rPr>
          <w:rFonts w:hint="eastAsia" w:ascii="仿宋_GB2312"/>
        </w:rPr>
      </w:pPr>
      <w:r>
        <w:rPr>
          <w:rFonts w:hint="eastAsia" w:ascii="仿宋_GB2312"/>
        </w:rPr>
        <w:t>《中华人民共和国煤炭法》 (自 1996 年 12 月 1 日起施行。现行版本为第十二届全国人民代表大会常务委员会第二十四次会议修改)；</w:t>
      </w:r>
    </w:p>
    <w:p>
      <w:pPr>
        <w:spacing w:line="360" w:lineRule="auto"/>
        <w:ind w:firstLine="560"/>
        <w:rPr>
          <w:rFonts w:hint="eastAsia" w:ascii="仿宋_GB2312"/>
        </w:rPr>
      </w:pPr>
      <w:r>
        <w:rPr>
          <w:rFonts w:hint="eastAsia" w:ascii="仿宋_GB2312"/>
        </w:rPr>
        <w:t xml:space="preserve"> 《中华人民共和国消防法》 (现行根据 2019 年 4 月 23 日第十三届 全国人民代表大会常务委员会第十次会议《关于修改〈中华人民共和国建筑法〉 等八部法律的决定》修正)；</w:t>
      </w:r>
    </w:p>
    <w:p>
      <w:pPr>
        <w:spacing w:line="360" w:lineRule="auto"/>
        <w:ind w:firstLine="560"/>
        <w:rPr>
          <w:rFonts w:hint="eastAsia" w:ascii="仿宋_GB2312"/>
        </w:rPr>
      </w:pPr>
      <w:r>
        <w:rPr>
          <w:rFonts w:hint="eastAsia" w:ascii="仿宋_GB2312"/>
        </w:rPr>
        <w:t xml:space="preserve"> 《中华人民共和国矿山安全法》 (2009 年第十一届全国人大常委会第十次会议修订)；</w:t>
      </w:r>
    </w:p>
    <w:p>
      <w:pPr>
        <w:spacing w:line="360" w:lineRule="auto"/>
        <w:ind w:firstLine="560"/>
        <w:rPr>
          <w:rFonts w:hint="eastAsia" w:ascii="仿宋_GB2312"/>
        </w:rPr>
      </w:pPr>
      <w:r>
        <w:rPr>
          <w:rFonts w:hint="eastAsia" w:ascii="仿宋_GB2312"/>
        </w:rPr>
        <w:t>《中华人民共和国行政处罚法》 (由中华人民共和国第十三届全国人 民代表大会常务委员会第二十五次会议于 2021 年 1 月 22 日修订通过，自 2021 年 7 月 15 日起施行)；</w:t>
      </w:r>
    </w:p>
    <w:p>
      <w:pPr>
        <w:spacing w:line="360" w:lineRule="auto"/>
        <w:ind w:firstLine="560"/>
        <w:rPr>
          <w:rFonts w:hint="eastAsia" w:ascii="仿宋_GB2312"/>
        </w:rPr>
      </w:pPr>
      <w:r>
        <w:rPr>
          <w:rFonts w:hint="eastAsia" w:ascii="仿宋_GB2312"/>
        </w:rPr>
        <w:t xml:space="preserve"> 《中华人民共和国行政许可法》 (自 2019 年 4 月 23 日，第十三届全国人民代表大会常务委员会第十次会议修正， 自公布之日起施行)；</w:t>
      </w:r>
    </w:p>
    <w:p>
      <w:pPr>
        <w:spacing w:line="360" w:lineRule="auto"/>
        <w:ind w:firstLine="560"/>
        <w:rPr>
          <w:rFonts w:hint="eastAsia" w:ascii="仿宋_GB2312"/>
        </w:rPr>
      </w:pPr>
      <w:r>
        <w:rPr>
          <w:rFonts w:hint="eastAsia" w:ascii="仿宋_GB2312"/>
        </w:rPr>
        <w:t xml:space="preserve"> 《国家安全生产事故灾难应急预案》 (自 2006 年 1 月 22 日施行)； </w:t>
      </w:r>
    </w:p>
    <w:p>
      <w:pPr>
        <w:spacing w:line="360" w:lineRule="auto"/>
        <w:ind w:firstLine="560"/>
        <w:rPr>
          <w:rFonts w:hint="eastAsia" w:ascii="仿宋_GB2312"/>
        </w:rPr>
      </w:pPr>
      <w:r>
        <w:rPr>
          <w:rFonts w:hint="eastAsia" w:ascii="仿宋_GB2312"/>
        </w:rPr>
        <w:t xml:space="preserve"> 《危险化学品安全管理条例》 (自 2013 年 12 月 7 日修正施行)； </w:t>
      </w:r>
    </w:p>
    <w:p>
      <w:pPr>
        <w:spacing w:line="360" w:lineRule="auto"/>
        <w:ind w:firstLine="560"/>
        <w:rPr>
          <w:rFonts w:hint="eastAsia" w:ascii="仿宋_GB2312"/>
        </w:rPr>
      </w:pPr>
      <w:r>
        <w:rPr>
          <w:rFonts w:hint="eastAsia" w:ascii="仿宋_GB2312"/>
        </w:rPr>
        <w:t xml:space="preserve"> 《生产安全事故应急条例》 (自 2019 年 4 月 1 日起施行)；      《新疆维吾尔自治区人民政府突发公共事件总体应急预案》；    </w:t>
      </w:r>
    </w:p>
    <w:p>
      <w:pPr>
        <w:spacing w:line="360" w:lineRule="auto"/>
        <w:ind w:firstLine="560"/>
        <w:rPr>
          <w:rFonts w:hint="eastAsia" w:ascii="仿宋_GB2312" w:hAnsi="Calibri" w:eastAsia="仿宋_GB2312" w:cs="黑体"/>
          <w:b w:val="0"/>
          <w:bCs w:val="0"/>
          <w:kern w:val="2"/>
          <w:sz w:val="28"/>
          <w:szCs w:val="22"/>
          <w:lang w:val="en-US" w:eastAsia="zh-CN" w:bidi="ar-SA"/>
        </w:rPr>
      </w:pPr>
      <w:r>
        <w:rPr>
          <w:rFonts w:hint="eastAsia" w:ascii="仿宋_GB2312" w:hAnsi="Calibri" w:eastAsia="仿宋_GB2312" w:cs="黑体"/>
          <w:b w:val="0"/>
          <w:bCs w:val="0"/>
          <w:kern w:val="2"/>
          <w:sz w:val="28"/>
          <w:szCs w:val="22"/>
          <w:lang w:val="en-US" w:eastAsia="zh-CN" w:bidi="ar-SA"/>
        </w:rPr>
        <w:t>《新疆维吾尔自治区安全生产事故灾难应急预案》</w:t>
      </w:r>
    </w:p>
    <w:p>
      <w:pPr>
        <w:spacing w:line="360" w:lineRule="auto"/>
        <w:ind w:firstLine="560"/>
        <w:rPr>
          <w:rFonts w:hint="eastAsia" w:ascii="仿宋_GB2312" w:hAnsi="Calibri" w:eastAsia="仿宋_GB2312" w:cs="黑体"/>
          <w:b w:val="0"/>
          <w:bCs w:val="0"/>
          <w:kern w:val="2"/>
          <w:sz w:val="28"/>
          <w:szCs w:val="22"/>
          <w:lang w:val="en-US" w:eastAsia="zh-CN" w:bidi="ar-SA"/>
        </w:rPr>
      </w:pPr>
    </w:p>
    <w:p>
      <w:pPr>
        <w:spacing w:line="360" w:lineRule="auto"/>
        <w:ind w:firstLine="560"/>
        <w:rPr>
          <w:rFonts w:hint="eastAsia" w:ascii="仿宋_GB2312" w:hAnsi="Calibri" w:eastAsia="仿宋_GB2312" w:cs="黑体"/>
          <w:b w:val="0"/>
          <w:bCs w:val="0"/>
          <w:kern w:val="2"/>
          <w:sz w:val="28"/>
          <w:szCs w:val="22"/>
          <w:lang w:val="en-US" w:eastAsia="zh-CN" w:bidi="ar-SA"/>
        </w:rPr>
      </w:pPr>
    </w:p>
    <w:p>
      <w:pPr>
        <w:spacing w:line="360" w:lineRule="auto"/>
        <w:ind w:firstLine="560"/>
        <w:rPr>
          <w:rFonts w:hint="eastAsia" w:ascii="仿宋_GB2312" w:hAnsi="Calibri" w:eastAsia="仿宋_GB2312" w:cs="黑体"/>
          <w:b w:val="0"/>
          <w:bCs w:val="0"/>
          <w:kern w:val="2"/>
          <w:sz w:val="28"/>
          <w:szCs w:val="22"/>
          <w:lang w:val="en-US" w:eastAsia="zh-CN" w:bidi="ar-SA"/>
        </w:rPr>
      </w:pPr>
    </w:p>
    <w:p>
      <w:pPr>
        <w:spacing w:line="360" w:lineRule="auto"/>
        <w:ind w:firstLine="560"/>
        <w:rPr>
          <w:rFonts w:ascii="仿宋" w:hAnsi="仿宋" w:eastAsia="仿宋"/>
          <w:lang w:bidi="en-US"/>
        </w:rPr>
      </w:pPr>
      <w:r>
        <w:rPr>
          <w:rFonts w:hint="eastAsia" w:ascii="仿宋" w:hAnsi="仿宋" w:eastAsia="仿宋" w:cstheme="majorBidi"/>
          <w:b/>
          <w:bCs/>
          <w:kern w:val="2"/>
          <w:sz w:val="32"/>
          <w:szCs w:val="32"/>
          <w:lang w:val="en-US" w:eastAsia="zh-CN"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仿宋_GB2312"/>
        </w:rPr>
        <w:footnoteReference w:id="0"/>
      </w:r>
      <w:r>
        <w:rPr>
          <w:rFonts w:hint="eastAsia" w:ascii="仿宋_GB2312"/>
        </w:rPr>
        <w:t>、材料审核分析、现场核查评价、综合分析评价及报告撰写，评价项目实施情况，展现资金使用效益。</w:t>
      </w:r>
    </w:p>
    <w:p>
      <w:pPr>
        <w:pStyle w:val="3"/>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pPr>
        <w:pStyle w:val="4"/>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年乌鲁木齐市城市安全运行监测工程（一期）项目（高风险企业专项）进行客观评价，最终评分结果为：</w:t>
      </w:r>
      <w:r>
        <w:rPr>
          <w:rFonts w:hint="eastAsia" w:ascii="仿宋_GB2312"/>
          <w:szCs w:val="28"/>
          <w:highlight w:val="none"/>
        </w:rPr>
        <w:t>总分为</w:t>
      </w:r>
      <w:r>
        <w:rPr>
          <w:rFonts w:hint="eastAsia" w:ascii="仿宋_GB2312"/>
          <w:szCs w:val="28"/>
          <w:highlight w:val="none"/>
          <w:lang w:val="en-US" w:eastAsia="zh-CN"/>
        </w:rPr>
        <w:t>100</w:t>
      </w:r>
      <w:r>
        <w:rPr>
          <w:rFonts w:hint="eastAsia" w:ascii="仿宋_GB2312"/>
          <w:szCs w:val="28"/>
          <w:highlight w:val="none"/>
        </w:rPr>
        <w:t>分，绩效评级为“</w:t>
      </w:r>
      <w:r>
        <w:rPr>
          <w:rFonts w:hint="eastAsia" w:ascii="仿宋_GB2312"/>
          <w:szCs w:val="28"/>
          <w:highlight w:val="none"/>
          <w:lang w:val="en-US" w:eastAsia="zh-CN"/>
        </w:rPr>
        <w:t>优</w:t>
      </w:r>
      <w:r>
        <w:rPr>
          <w:rFonts w:hint="eastAsia" w:ascii="仿宋_GB2312"/>
          <w:szCs w:val="28"/>
          <w:highlight w:val="none"/>
        </w:rPr>
        <w:t>”</w:t>
      </w:r>
      <w:r>
        <w:rPr>
          <w:rStyle w:val="23"/>
          <w:rFonts w:ascii="仿宋_GB2312"/>
          <w:szCs w:val="28"/>
          <w:highlight w:val="none"/>
        </w:rPr>
        <w:footnoteReference w:id="1"/>
      </w:r>
      <w:r>
        <w:rPr>
          <w:rFonts w:hint="eastAsia" w:ascii="仿宋_GB2312"/>
          <w:szCs w:val="28"/>
          <w:highlight w:val="none"/>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8"/>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软件实施人员数量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接入企业数量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bidi="ar-SA"/>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系统故障修复率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w:t>
            </w:r>
            <w:r>
              <w:rPr>
                <w:rFonts w:ascii="仿宋_GB2312" w:hAnsi="宋体" w:cs="宋体"/>
                <w:kern w:val="0"/>
                <w:sz w:val="24"/>
                <w:szCs w:val="24"/>
              </w:rPr>
              <w:t>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hint="eastAsia"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宋体" w:hAnsi="宋体" w:eastAsia="宋体" w:cs="宋体"/>
                <w:color w:val="000000"/>
                <w:kern w:val="0"/>
                <w:sz w:val="22"/>
              </w:rPr>
              <w:t>平均故障修复时间</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rPr>
              <w:t>产</w:t>
            </w:r>
            <w:r>
              <w:rPr>
                <w:rFonts w:hint="eastAsia" w:ascii="仿宋_GB2312" w:hAnsi="宋体" w:cs="宋体"/>
                <w:kern w:val="0"/>
                <w:sz w:val="24"/>
                <w:szCs w:val="24"/>
                <w:highlight w:val="none"/>
                <w:lang w:val="en-US" w:eastAsia="zh-CN"/>
              </w:rPr>
              <w:t>出成本</w:t>
            </w:r>
          </w:p>
        </w:tc>
        <w:tc>
          <w:tcPr>
            <w:tcW w:w="2693"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宋体" w:hAnsi="宋体" w:eastAsia="宋体" w:cs="宋体"/>
                <w:color w:val="000000"/>
                <w:kern w:val="0"/>
                <w:sz w:val="22"/>
                <w:lang w:val="en-US" w:eastAsia="zh-CN"/>
              </w:rPr>
              <w:t>预算执行率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实现监测数据的实时接入、企业风险的综合分析</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实现后期新进企业的统一规范</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100%</w:t>
            </w:r>
          </w:p>
        </w:tc>
      </w:tr>
    </w:tbl>
    <w:p>
      <w:pPr>
        <w:pStyle w:val="4"/>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pPr>
        <w:spacing w:line="360" w:lineRule="auto"/>
        <w:ind w:firstLine="548" w:firstLineChars="196"/>
        <w:rPr>
          <w:rFonts w:hint="eastAsia" w:ascii="仿宋_GB2312"/>
          <w:lang w:val="en-US" w:eastAsia="zh-CN"/>
        </w:rPr>
      </w:pPr>
      <w:r>
        <w:rPr>
          <w:rFonts w:hint="eastAsia" w:ascii="仿宋_GB2312"/>
          <w:bCs/>
          <w:szCs w:val="28"/>
        </w:rPr>
        <w:t>该项目资金区财政及时拨付，</w:t>
      </w:r>
      <w:r>
        <w:rPr>
          <w:rFonts w:hint="eastAsia" w:ascii="仿宋_GB2312"/>
          <w:bCs/>
          <w:szCs w:val="28"/>
          <w:highlight w:val="none"/>
        </w:rPr>
        <w:t>单位在此次评价期间内，</w:t>
      </w:r>
      <w:r>
        <w:rPr>
          <w:rFonts w:hint="eastAsia" w:ascii="仿宋_GB2312"/>
          <w:lang w:val="en-US" w:eastAsia="zh-CN"/>
        </w:rPr>
        <w:t>完成试运行、用户培训、等保、密评、第三方软测等工作。并且根据企业反馈，优化提升了系统功能。很好的支撑了乌鲁木齐市应急管理局高风险企业安全监管业务，大大提高了政府工作的效率。更加直观、便捷的检索和查看相关的信息。通过系统上报的数据比之前的手工上报不仅缩短了上报时间，也提高了上报数据的准确性和时效性。</w:t>
      </w:r>
    </w:p>
    <w:p>
      <w:pPr>
        <w:spacing w:line="360" w:lineRule="auto"/>
        <w:ind w:firstLine="548" w:firstLineChars="196"/>
        <w:rPr>
          <w:rFonts w:hint="default" w:ascii="仿宋_GB2312" w:eastAsia="仿宋_GB2312"/>
          <w:bCs/>
          <w:szCs w:val="28"/>
          <w:highlight w:val="yellow"/>
          <w:lang w:val="en-US" w:eastAsia="zh-CN"/>
        </w:rPr>
      </w:pPr>
    </w:p>
    <w:p>
      <w:pPr>
        <w:pStyle w:val="3"/>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pPr>
        <w:pStyle w:val="4"/>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5"/>
        <w:ind w:firstLine="643"/>
      </w:pPr>
      <w:bookmarkStart w:id="37" w:name="_Toc165277242"/>
      <w:r>
        <w:t>1.</w:t>
      </w:r>
      <w:r>
        <w:rPr>
          <w:rFonts w:hint="eastAsia"/>
        </w:rPr>
        <w:t>项目立项</w:t>
      </w:r>
      <w:bookmarkEnd w:id="37"/>
    </w:p>
    <w:p>
      <w:pPr>
        <w:spacing w:line="360" w:lineRule="auto"/>
        <w:ind w:firstLine="562"/>
        <w:rPr>
          <w:rFonts w:ascii="仿宋_GB2312"/>
          <w:color w:val="auto"/>
          <w:szCs w:val="28"/>
        </w:rPr>
      </w:pPr>
      <w:r>
        <w:rPr>
          <w:rFonts w:hint="eastAsia" w:ascii="仿宋_GB2312"/>
          <w:b/>
          <w:bCs/>
          <w:szCs w:val="28"/>
        </w:rPr>
        <w:t>立项依据充分性：</w:t>
      </w:r>
      <w:r>
        <w:rPr>
          <w:rFonts w:hint="eastAsia" w:ascii="仿宋_GB2312"/>
          <w:color w:val="auto"/>
          <w:szCs w:val="28"/>
        </w:rPr>
        <w:t>根据</w:t>
      </w:r>
      <w:r>
        <w:rPr>
          <w:rFonts w:hint="eastAsia" w:ascii="仿宋_GB2312"/>
          <w:color w:val="auto"/>
          <w:szCs w:val="28"/>
          <w:lang w:val="en-US" w:eastAsia="zh-CN"/>
        </w:rPr>
        <w:t>市人民政府</w:t>
      </w:r>
      <w:r>
        <w:rPr>
          <w:rFonts w:hint="eastAsia" w:ascii="仿宋_GB2312"/>
          <w:color w:val="auto"/>
          <w:szCs w:val="28"/>
        </w:rPr>
        <w:t>乌政阅〔2022〕2号、7号会议纪要的相关要求，乌鲁木齐市应急管理局负责建设乌鲁木齐市城市安全运行监测工程（一期）项目（高风险企业专项）</w:t>
      </w:r>
      <w:r>
        <w:rPr>
          <w:rFonts w:hint="eastAsia" w:ascii="仿宋_GB2312"/>
          <w:color w:val="auto"/>
          <w:szCs w:val="28"/>
          <w:lang w:eastAsia="zh-CN"/>
        </w:rPr>
        <w:t>。</w:t>
      </w:r>
      <w:r>
        <w:rPr>
          <w:rFonts w:hint="eastAsia" w:ascii="仿宋_GB2312"/>
          <w:color w:val="auto"/>
          <w:szCs w:val="28"/>
        </w:rPr>
        <w:t>项目</w:t>
      </w:r>
      <w:r>
        <w:rPr>
          <w:rFonts w:hint="eastAsia" w:ascii="仿宋_GB2312"/>
          <w:color w:val="auto"/>
          <w:szCs w:val="28"/>
          <w:lang w:val="en-US" w:eastAsia="zh-CN"/>
        </w:rPr>
        <w:t>立项</w:t>
      </w:r>
      <w:r>
        <w:rPr>
          <w:rFonts w:hint="eastAsia" w:ascii="仿宋_GB2312"/>
          <w:color w:val="auto"/>
          <w:szCs w:val="28"/>
        </w:rPr>
        <w:t>符合《国家电子政务工程建设项目管理暂行办法》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rPr>
      </w:pPr>
      <w:r>
        <w:rPr>
          <w:rFonts w:hint="eastAsia" w:ascii="仿宋_GB2312"/>
          <w:b/>
          <w:bCs/>
          <w:color w:val="auto"/>
          <w:szCs w:val="28"/>
        </w:rPr>
        <w:t>立项程序规范性</w:t>
      </w:r>
      <w:r>
        <w:rPr>
          <w:rFonts w:ascii="仿宋_GB2312"/>
          <w:b/>
          <w:bCs/>
          <w:color w:val="auto"/>
          <w:szCs w:val="28"/>
        </w:rPr>
        <w:t>:</w:t>
      </w:r>
      <w:r>
        <w:rPr>
          <w:rFonts w:hint="eastAsia"/>
          <w:color w:val="auto"/>
        </w:rPr>
        <w:t xml:space="preserve"> </w:t>
      </w:r>
      <w:r>
        <w:rPr>
          <w:rFonts w:hint="eastAsia" w:ascii="仿宋_GB2312"/>
          <w:color w:val="auto"/>
          <w:szCs w:val="28"/>
        </w:rPr>
        <w:t>根据</w:t>
      </w:r>
      <w:r>
        <w:rPr>
          <w:rFonts w:hint="eastAsia" w:ascii="仿宋_GB2312"/>
          <w:color w:val="auto"/>
          <w:szCs w:val="28"/>
          <w:lang w:val="en-US" w:eastAsia="zh-CN"/>
        </w:rPr>
        <w:t>市人民政府</w:t>
      </w:r>
      <w:r>
        <w:rPr>
          <w:rFonts w:hint="eastAsia" w:ascii="仿宋_GB2312"/>
          <w:color w:val="auto"/>
          <w:szCs w:val="28"/>
        </w:rPr>
        <w:t>乌政阅〔2022〕2号、7号会议纪要的相关要求，乌鲁木齐市应急管理局负责建设乌鲁木齐市城市安全运行监测工程（一期）项目（高风险企业专项）</w:t>
      </w:r>
      <w:r>
        <w:rPr>
          <w:rFonts w:hint="eastAsia" w:ascii="仿宋_GB2312"/>
          <w:color w:val="auto"/>
          <w:szCs w:val="28"/>
          <w:lang w:eastAsia="zh-CN"/>
        </w:rPr>
        <w:t>。</w:t>
      </w:r>
      <w:r>
        <w:rPr>
          <w:rFonts w:hint="eastAsia" w:ascii="仿宋_GB2312"/>
          <w:color w:val="auto"/>
          <w:szCs w:val="28"/>
        </w:rPr>
        <w:t>项目按照规定的</w:t>
      </w:r>
      <w:r>
        <w:rPr>
          <w:rFonts w:hint="eastAsia" w:ascii="仿宋_GB2312"/>
          <w:color w:val="auto"/>
          <w:szCs w:val="28"/>
          <w:lang w:val="en-US" w:eastAsia="zh-CN"/>
        </w:rPr>
        <w:t>政府采购流程</w:t>
      </w:r>
      <w:r>
        <w:rPr>
          <w:rFonts w:hint="eastAsia" w:ascii="仿宋_GB2312"/>
          <w:color w:val="auto"/>
          <w:szCs w:val="28"/>
        </w:rPr>
        <w:t>申请</w:t>
      </w:r>
      <w:r>
        <w:rPr>
          <w:rFonts w:hint="eastAsia" w:ascii="仿宋_GB2312"/>
          <w:color w:val="auto"/>
          <w:szCs w:val="28"/>
          <w:lang w:val="en-US" w:eastAsia="zh-CN"/>
        </w:rPr>
        <w:t>采购</w:t>
      </w:r>
      <w:r>
        <w:rPr>
          <w:rFonts w:hint="eastAsia" w:ascii="仿宋_GB2312"/>
          <w:color w:val="auto"/>
          <w:szCs w:val="28"/>
        </w:rPr>
        <w:t>，</w:t>
      </w:r>
      <w:r>
        <w:rPr>
          <w:rFonts w:hint="eastAsia" w:ascii="仿宋_GB2312"/>
          <w:color w:val="auto"/>
          <w:szCs w:val="28"/>
          <w:lang w:val="en-US" w:eastAsia="zh-CN"/>
        </w:rPr>
        <w:t>项目建议书</w:t>
      </w:r>
      <w:r>
        <w:rPr>
          <w:rFonts w:hint="eastAsia" w:ascii="仿宋_GB2312"/>
          <w:color w:val="auto"/>
          <w:szCs w:val="28"/>
          <w:highlight w:val="none"/>
        </w:rPr>
        <w:t>审批</w:t>
      </w:r>
      <w:r>
        <w:rPr>
          <w:rFonts w:hint="eastAsia" w:ascii="仿宋_GB2312"/>
          <w:color w:val="auto"/>
          <w:szCs w:val="28"/>
          <w:highlight w:val="none"/>
          <w:lang w:eastAsia="zh-CN"/>
        </w:rPr>
        <w:t>、</w:t>
      </w:r>
      <w:r>
        <w:rPr>
          <w:rFonts w:hint="eastAsia" w:ascii="仿宋_GB2312"/>
          <w:szCs w:val="28"/>
          <w:highlight w:val="none"/>
          <w:lang w:val="en-US" w:eastAsia="zh-CN"/>
        </w:rPr>
        <w:t>可研报告审批</w:t>
      </w:r>
      <w:r>
        <w:rPr>
          <w:rFonts w:hint="eastAsia" w:ascii="仿宋_GB2312"/>
          <w:szCs w:val="28"/>
          <w:highlight w:val="none"/>
        </w:rPr>
        <w:t>材料符合</w:t>
      </w:r>
      <w:r>
        <w:rPr>
          <w:rFonts w:hint="eastAsia" w:ascii="仿宋_GB2312"/>
          <w:szCs w:val="28"/>
        </w:rPr>
        <w:t>相关要求，故</w:t>
      </w:r>
      <w:r>
        <w:rPr>
          <w:rFonts w:hint="eastAsia" w:ascii="仿宋_GB2312"/>
          <w:szCs w:val="28"/>
          <w:lang w:val="en-US" w:eastAsia="zh-CN"/>
        </w:rPr>
        <w:t>采购项目</w:t>
      </w:r>
      <w:r>
        <w:rPr>
          <w:rFonts w:hint="eastAsia" w:ascii="仿宋_GB2312"/>
          <w:szCs w:val="28"/>
        </w:rPr>
        <w:t>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ascii="仿宋_GB2312" w:hAnsi="仿宋" w:cs="宋体"/>
          <w:b/>
          <w:kern w:val="0"/>
          <w:szCs w:val="28"/>
        </w:rPr>
        <w:t>8</w:t>
      </w:r>
      <w:r>
        <w:rPr>
          <w:rFonts w:hint="eastAsia" w:ascii="仿宋_GB2312" w:hAnsi="仿宋" w:cs="宋体"/>
          <w:b/>
          <w:kern w:val="0"/>
          <w:szCs w:val="28"/>
        </w:rPr>
        <w:t>分。</w:t>
      </w:r>
    </w:p>
    <w:p>
      <w:pPr>
        <w:pStyle w:val="5"/>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其中，目标已细化为具体的绩效指标，可通过数量指标、质量指标、时效指标予以量化，并具有确切的评价标准，且指标设定均与目标相关。各项指标均能在现实条件下收集到相关数据进行佐证，</w:t>
      </w:r>
      <w:r>
        <w:rPr>
          <w:rFonts w:hint="eastAsia" w:ascii="仿宋_GB2312" w:hAnsi="仿宋" w:cs="宋体"/>
          <w:kern w:val="0"/>
          <w:szCs w:val="28"/>
          <w:lang w:val="en-US" w:eastAsia="zh-CN"/>
        </w:rPr>
        <w:t>在项目验收时，开发商提交培训方案与计划、系统操作手册、培训签到表。等保、软测、密评公司出具了等保报告、密评报告和第三方测试报告。</w:t>
      </w:r>
      <w:r>
        <w:rPr>
          <w:rFonts w:hint="eastAsia" w:ascii="仿宋_GB2312" w:hAnsi="仿宋" w:cs="宋体"/>
          <w:kern w:val="0"/>
          <w:szCs w:val="28"/>
        </w:rPr>
        <w:t>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5"/>
        <w:ind w:firstLine="643"/>
      </w:pPr>
      <w:bookmarkStart w:id="39" w:name="_Toc165277244"/>
      <w:r>
        <w:rPr>
          <w:rFonts w:hint="eastAsia"/>
        </w:rPr>
        <w:t>3.资金投入</w:t>
      </w:r>
      <w:bookmarkEnd w:id="39"/>
    </w:p>
    <w:p>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rPr>
        <w:t>本项目的投资概算编制主要根据《国家电子政务工程建设项目管理暂行办法》(国家发改委〔2007〕55 号令)的规定编制，相关费率按照国家发改委、建设部、工信部、原国家计委相关要求进行测算。故预算编制科学性指标得分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0" w:firstLineChars="0"/>
        <w:rPr>
          <w:rFonts w:ascii="仿宋_GB2312" w:hAnsi="仿宋" w:cs="宋体"/>
          <w:bCs/>
          <w:kern w:val="0"/>
          <w:szCs w:val="28"/>
        </w:rPr>
      </w:pPr>
    </w:p>
    <w:p>
      <w:pPr>
        <w:spacing w:line="360" w:lineRule="auto"/>
        <w:ind w:firstLine="562"/>
      </w:pPr>
      <w:r>
        <w:rPr>
          <w:rFonts w:hint="eastAsia"/>
          <w:b/>
          <w:bCs/>
        </w:rPr>
        <w:t>资金分配合理性</w:t>
      </w:r>
      <w:r>
        <w:rPr>
          <w:rFonts w:hint="eastAsia"/>
        </w:rPr>
        <w:t>：</w:t>
      </w:r>
      <w:r>
        <w:rPr>
          <w:rFonts w:hint="eastAsia" w:ascii="仿宋_GB2312"/>
        </w:rPr>
        <w:t>根</w:t>
      </w:r>
      <w:r>
        <w:rPr>
          <w:rFonts w:hint="eastAsia" w:ascii="仿宋_GB2312"/>
          <w:highlight w:val="none"/>
        </w:rPr>
        <w:t>据</w:t>
      </w:r>
      <w:r>
        <w:rPr>
          <w:rFonts w:hint="eastAsia" w:ascii="仿宋_GB2312"/>
          <w:lang w:eastAsia="zh-CN"/>
        </w:rPr>
        <w:t>《</w:t>
      </w:r>
      <w:r>
        <w:rPr>
          <w:rFonts w:hint="eastAsia" w:ascii="仿宋_GB2312"/>
          <w:highlight w:val="none"/>
          <w:lang w:val="en-US" w:eastAsia="zh-CN"/>
        </w:rPr>
        <w:t>关于下达拨付第八批支持城市发展专项补助资金的通知</w:t>
      </w:r>
      <w:r>
        <w:rPr>
          <w:rFonts w:hint="eastAsia" w:ascii="仿宋_GB2312"/>
          <w:lang w:eastAsia="zh-CN"/>
        </w:rPr>
        <w:t>》（</w:t>
      </w:r>
      <w:r>
        <w:rPr>
          <w:rFonts w:hint="eastAsia" w:ascii="仿宋_GB2312"/>
          <w:highlight w:val="none"/>
          <w:lang w:val="en-US" w:eastAsia="zh-CN"/>
        </w:rPr>
        <w:t>乌财建【2023】209</w:t>
      </w:r>
      <w:r>
        <w:rPr>
          <w:rFonts w:hint="eastAsia" w:ascii="仿宋_GB2312"/>
        </w:rPr>
        <w:t>号</w:t>
      </w:r>
      <w:r>
        <w:rPr>
          <w:rFonts w:hint="eastAsia" w:ascii="仿宋_GB2312"/>
          <w:lang w:eastAsia="zh-CN"/>
        </w:rPr>
        <w:t>）</w:t>
      </w:r>
      <w:r>
        <w:rPr>
          <w:rFonts w:hint="eastAsia" w:ascii="仿宋_GB2312"/>
          <w:highlight w:val="none"/>
        </w:rPr>
        <w:t>文件，</w:t>
      </w:r>
      <w:r>
        <w:rPr>
          <w:rFonts w:hint="eastAsia" w:ascii="仿宋_GB2312"/>
          <w:highlight w:val="none"/>
          <w:lang w:val="en-US" w:eastAsia="zh-CN"/>
        </w:rPr>
        <w:t>该项目资金属于支持城市发展专项补助资金，</w:t>
      </w:r>
      <w:r>
        <w:rPr>
          <w:rFonts w:hint="eastAsia" w:ascii="仿宋_GB2312" w:hAnsi="仿宋" w:cs="宋体"/>
          <w:kern w:val="0"/>
          <w:szCs w:val="28"/>
          <w:highlight w:val="none"/>
        </w:rPr>
        <w:t>项目的投资概算编制主</w:t>
      </w:r>
      <w:r>
        <w:rPr>
          <w:rFonts w:hint="eastAsia" w:ascii="仿宋_GB2312" w:hAnsi="仿宋" w:cs="宋体"/>
          <w:kern w:val="0"/>
          <w:szCs w:val="28"/>
        </w:rPr>
        <w:t>要根据《国家电子政务工程建设项目管理暂行办法》(国家发改委〔2007〕55 号令)的规定编制，相关费率按照国家发改委、建设部、工信部、原国家计委相关要求进行测算</w:t>
      </w:r>
      <w:r>
        <w:rPr>
          <w:rFonts w:hint="eastAsia" w:ascii="仿宋_GB2312" w:hAnsi="仿宋" w:cs="宋体"/>
          <w:kern w:val="0"/>
          <w:szCs w:val="28"/>
          <w:lang w:eastAsia="zh-CN"/>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4"/>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5"/>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t xml:space="preserve"> </w:t>
      </w:r>
      <w:r>
        <w:rPr>
          <w:rFonts w:hint="eastAsia" w:ascii="仿宋_GB2312"/>
        </w:rPr>
        <w:t>经</w:t>
      </w:r>
      <w:r>
        <w:rPr>
          <w:rFonts w:hint="eastAsia" w:ascii="仿宋_GB2312"/>
          <w:lang w:eastAsia="zh-CN"/>
        </w:rPr>
        <w:t>《</w:t>
      </w:r>
      <w:r>
        <w:rPr>
          <w:rFonts w:hint="eastAsia" w:ascii="仿宋_GB2312"/>
          <w:highlight w:val="none"/>
          <w:lang w:val="en-US" w:eastAsia="zh-CN"/>
        </w:rPr>
        <w:t>关于下达拨付第八批支持城市发展专项补助资金的通知</w:t>
      </w:r>
      <w:r>
        <w:rPr>
          <w:rFonts w:hint="eastAsia" w:ascii="仿宋_GB2312"/>
          <w:lang w:eastAsia="zh-CN"/>
        </w:rPr>
        <w:t>》（</w:t>
      </w:r>
      <w:r>
        <w:rPr>
          <w:rFonts w:hint="eastAsia" w:ascii="仿宋_GB2312"/>
          <w:highlight w:val="none"/>
          <w:lang w:val="en-US" w:eastAsia="zh-CN"/>
        </w:rPr>
        <w:t>乌财建【2023】209</w:t>
      </w:r>
      <w:r>
        <w:rPr>
          <w:rFonts w:hint="eastAsia" w:ascii="仿宋_GB2312"/>
        </w:rPr>
        <w:t>号</w:t>
      </w:r>
      <w:r>
        <w:rPr>
          <w:rFonts w:hint="eastAsia" w:ascii="仿宋_GB2312"/>
          <w:lang w:eastAsia="zh-CN"/>
        </w:rPr>
        <w:t>）</w:t>
      </w:r>
      <w:r>
        <w:rPr>
          <w:rFonts w:hint="eastAsia" w:ascii="仿宋_GB2312"/>
        </w:rPr>
        <w:t>文件批准，</w:t>
      </w:r>
      <w:r>
        <w:rPr>
          <w:rFonts w:hint="eastAsia" w:ascii="仿宋_GB2312" w:hAnsi="仿宋" w:cs="宋体"/>
          <w:kern w:val="0"/>
          <w:szCs w:val="28"/>
        </w:rPr>
        <w:t>该项目资金由财政拨付</w:t>
      </w:r>
      <w:r>
        <w:rPr>
          <w:rFonts w:hint="eastAsia" w:ascii="仿宋_GB2312" w:hAnsi="仿宋" w:cs="宋体"/>
          <w:b/>
          <w:kern w:val="0"/>
          <w:szCs w:val="28"/>
        </w:rPr>
        <w:t>，</w:t>
      </w:r>
      <w:r>
        <w:rPr>
          <w:rFonts w:hint="eastAsia" w:ascii="仿宋_GB2312"/>
          <w:lang w:val="en-US" w:eastAsia="zh-CN"/>
        </w:rPr>
        <w:t>项目</w:t>
      </w:r>
      <w:r>
        <w:rPr>
          <w:rFonts w:hint="eastAsia" w:ascii="仿宋_GB2312"/>
        </w:rPr>
        <w:t>共安排预算</w:t>
      </w:r>
      <w:r>
        <w:rPr>
          <w:rFonts w:hint="eastAsia" w:ascii="仿宋_GB2312"/>
          <w:lang w:val="en-US" w:eastAsia="zh-CN"/>
        </w:rPr>
        <w:t>164.45</w:t>
      </w:r>
      <w:r>
        <w:rPr>
          <w:rFonts w:hint="eastAsia" w:ascii="仿宋_GB2312"/>
        </w:rPr>
        <w:t>万元</w:t>
      </w:r>
      <w:r>
        <w:rPr>
          <w:rFonts w:hint="eastAsia" w:ascii="仿宋_GB2312"/>
          <w:lang w:eastAsia="zh-CN"/>
        </w:rPr>
        <w:t>，</w:t>
      </w:r>
      <w:r>
        <w:rPr>
          <w:rFonts w:hint="eastAsia" w:ascii="仿宋_GB2312"/>
          <w:lang w:val="en-US" w:eastAsia="zh-CN"/>
        </w:rPr>
        <w:t>2023年6月到位164.45万元，资金到位率100%</w:t>
      </w:r>
      <w:r>
        <w:rPr>
          <w:rFonts w:hint="eastAsia" w:ascii="仿宋_GB2312"/>
        </w:rPr>
        <w:t>。</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pPr>
        <w:spacing w:line="360" w:lineRule="auto"/>
        <w:ind w:firstLine="560"/>
        <w:rPr>
          <w:rFonts w:ascii="仿宋_GB2312"/>
          <w:szCs w:val="28"/>
        </w:rPr>
      </w:pPr>
    </w:p>
    <w:p>
      <w:pPr>
        <w:spacing w:line="360" w:lineRule="auto"/>
        <w:ind w:firstLine="562"/>
        <w:rPr>
          <w:rFonts w:ascii="仿宋_GB2312"/>
          <w:szCs w:val="28"/>
        </w:rPr>
      </w:pPr>
      <w:r>
        <w:rPr>
          <w:rFonts w:hint="eastAsia" w:ascii="仿宋_GB2312"/>
          <w:b/>
          <w:bCs/>
          <w:szCs w:val="28"/>
        </w:rPr>
        <w:t>预算执行率：</w:t>
      </w:r>
      <w:r>
        <w:rPr>
          <w:rFonts w:hint="eastAsia" w:ascii="仿宋_GB2312" w:hAnsi="仿宋" w:cs="宋体"/>
          <w:kern w:val="0"/>
          <w:szCs w:val="28"/>
        </w:rPr>
        <w:t>该项目资金由财政拨付</w:t>
      </w:r>
      <w:r>
        <w:rPr>
          <w:rFonts w:hint="eastAsia" w:ascii="仿宋_GB2312" w:hAnsi="仿宋" w:cs="宋体"/>
          <w:b/>
          <w:kern w:val="0"/>
          <w:szCs w:val="28"/>
        </w:rPr>
        <w:t>，</w:t>
      </w:r>
      <w:r>
        <w:rPr>
          <w:rFonts w:hint="eastAsia" w:ascii="仿宋_GB2312"/>
        </w:rPr>
        <w:t>于</w:t>
      </w:r>
      <w:r>
        <w:rPr>
          <w:rFonts w:hint="eastAsia" w:ascii="仿宋_GB2312"/>
          <w:lang w:val="en-US" w:eastAsia="zh-CN"/>
        </w:rPr>
        <w:t>2023年11月支付164.45万元给乌鲁木齐辰安科技有限公司，</w:t>
      </w:r>
      <w:r>
        <w:rPr>
          <w:rFonts w:hint="eastAsia" w:ascii="仿宋_GB2312"/>
          <w:szCs w:val="28"/>
        </w:rPr>
        <w:t>预算执行率</w:t>
      </w:r>
      <w:r>
        <w:rPr>
          <w:rFonts w:hint="eastAsia" w:ascii="仿宋_GB2312"/>
          <w:szCs w:val="28"/>
          <w:lang w:val="en-US" w:eastAsia="zh-CN"/>
        </w:rPr>
        <w:t>100%。</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pPr>
        <w:spacing w:line="360" w:lineRule="auto"/>
        <w:ind w:firstLine="562"/>
        <w:rPr>
          <w:rFonts w:ascii="仿宋_GB2312"/>
          <w:b/>
          <w:bCs/>
          <w:szCs w:val="28"/>
        </w:rPr>
      </w:pP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本项目资金的使用符合国家财经法规和</w:t>
      </w:r>
      <w:r>
        <w:rPr>
          <w:rFonts w:hint="eastAsia" w:ascii="仿宋_GB2312"/>
          <w:szCs w:val="28"/>
          <w:lang w:eastAsia="zh-CN"/>
        </w:rPr>
        <w:t>《</w:t>
      </w:r>
      <w:r>
        <w:rPr>
          <w:rFonts w:hint="eastAsia" w:ascii="仿宋_GB2312"/>
          <w:szCs w:val="28"/>
          <w:lang w:val="en-US" w:eastAsia="zh-CN"/>
        </w:rPr>
        <w:t>乌鲁木齐市应急管理局内部控制管理制度</w:t>
      </w:r>
      <w:r>
        <w:rPr>
          <w:rFonts w:hint="eastAsia" w:ascii="仿宋_GB2312"/>
          <w:szCs w:val="28"/>
          <w:lang w:eastAsia="zh-CN"/>
        </w:rPr>
        <w:t>》</w:t>
      </w:r>
      <w:r>
        <w:rPr>
          <w:rFonts w:hint="eastAsia" w:ascii="仿宋_GB2312"/>
          <w:szCs w:val="28"/>
        </w:rPr>
        <w:t>的规定。同时，资金的拨付</w:t>
      </w:r>
      <w:r>
        <w:rPr>
          <w:rFonts w:hint="eastAsia" w:ascii="仿宋_GB2312"/>
          <w:szCs w:val="28"/>
          <w:lang w:val="en-US" w:eastAsia="zh-CN"/>
        </w:rPr>
        <w:t>按照市财政局要求进行申报和</w:t>
      </w:r>
      <w:r>
        <w:rPr>
          <w:rFonts w:hint="eastAsia" w:ascii="仿宋_GB2312"/>
          <w:szCs w:val="28"/>
        </w:rPr>
        <w:t>审批</w:t>
      </w:r>
      <w:r>
        <w:rPr>
          <w:rFonts w:hint="eastAsia" w:ascii="仿宋_GB2312"/>
          <w:szCs w:val="28"/>
          <w:lang w:eastAsia="zh-CN"/>
        </w:rPr>
        <w:t>，</w:t>
      </w:r>
      <w:r>
        <w:rPr>
          <w:rFonts w:hint="eastAsia" w:ascii="仿宋_GB2312"/>
          <w:szCs w:val="28"/>
          <w:lang w:val="en-US" w:eastAsia="zh-CN"/>
        </w:rPr>
        <w:t>按照要求在预算管理一体化系统进行申报</w:t>
      </w:r>
      <w:r>
        <w:rPr>
          <w:rFonts w:hint="eastAsia" w:ascii="仿宋_GB2312"/>
          <w:szCs w:val="28"/>
        </w:rPr>
        <w:t>，符合项目预算批复</w:t>
      </w:r>
      <w:r>
        <w:rPr>
          <w:rFonts w:hint="eastAsia" w:ascii="仿宋_GB2312"/>
          <w:szCs w:val="28"/>
          <w:lang w:val="en-US" w:eastAsia="zh-CN"/>
        </w:rPr>
        <w:t>及</w:t>
      </w:r>
      <w:r>
        <w:rPr>
          <w:rFonts w:hint="eastAsia" w:ascii="仿宋_GB2312"/>
          <w:szCs w:val="28"/>
        </w:rPr>
        <w:t>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pPr>
        <w:pStyle w:val="5"/>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val="en-US" w:eastAsia="zh-CN"/>
        </w:rPr>
        <w:t>市应急管理局（市矿山安全监督管理局）</w:t>
      </w:r>
      <w:r>
        <w:rPr>
          <w:rFonts w:hint="eastAsia" w:ascii="仿宋_GB2312"/>
          <w:szCs w:val="28"/>
        </w:rPr>
        <w:t>已制定</w:t>
      </w:r>
      <w:r>
        <w:rPr>
          <w:rFonts w:hint="eastAsia" w:ascii="仿宋_GB2312"/>
          <w:szCs w:val="28"/>
          <w:lang w:eastAsia="zh-CN"/>
        </w:rPr>
        <w:t>《</w:t>
      </w:r>
      <w:r>
        <w:rPr>
          <w:rFonts w:hint="eastAsia" w:ascii="仿宋_GB2312"/>
          <w:szCs w:val="28"/>
          <w:lang w:val="en-US" w:eastAsia="zh-CN"/>
        </w:rPr>
        <w:t>内部控制</w:t>
      </w:r>
      <w:r>
        <w:rPr>
          <w:rFonts w:hint="eastAsia" w:ascii="仿宋_GB2312"/>
          <w:szCs w:val="28"/>
          <w:highlight w:val="none"/>
        </w:rPr>
        <w:t>管理制</w:t>
      </w:r>
      <w:r>
        <w:rPr>
          <w:rFonts w:hint="eastAsia" w:ascii="仿宋_GB2312"/>
          <w:szCs w:val="28"/>
        </w:rPr>
        <w:t>度</w:t>
      </w:r>
      <w:r>
        <w:rPr>
          <w:rFonts w:hint="eastAsia" w:ascii="仿宋_GB2312"/>
          <w:szCs w:val="28"/>
          <w:lang w:eastAsia="zh-CN"/>
        </w:rPr>
        <w:t>》</w:t>
      </w:r>
      <w:r>
        <w:rPr>
          <w:rFonts w:hint="eastAsia" w:ascii="仿宋_GB2312"/>
          <w:szCs w:val="28"/>
        </w:rPr>
        <w:t>，且制度合法、合规、完整，为项目顺利实施提供重要保障。故管理制度健全性得分为3分。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val="en-US" w:eastAsia="zh-CN"/>
        </w:rPr>
        <w:t>市应急管理局（市矿山安全监督管理局）</w:t>
      </w:r>
      <w:r>
        <w:rPr>
          <w:rFonts w:hint="eastAsia" w:ascii="仿宋_GB2312"/>
          <w:szCs w:val="28"/>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4"/>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w:t>
      </w:r>
      <w:r>
        <w:rPr>
          <w:rFonts w:hint="eastAsia" w:ascii="仿宋_GB2312"/>
          <w:szCs w:val="28"/>
          <w:highlight w:val="none"/>
        </w:rPr>
        <w:t>标由</w:t>
      </w:r>
      <w:r>
        <w:rPr>
          <w:rFonts w:ascii="仿宋_GB2312"/>
          <w:szCs w:val="28"/>
          <w:highlight w:val="none"/>
        </w:rPr>
        <w:t>4</w:t>
      </w:r>
      <w:r>
        <w:rPr>
          <w:rFonts w:hint="eastAsia" w:ascii="仿宋_GB2312"/>
          <w:szCs w:val="28"/>
          <w:highlight w:val="none"/>
        </w:rPr>
        <w:t>个二级指标和</w:t>
      </w:r>
      <w:r>
        <w:rPr>
          <w:rFonts w:hint="eastAsia" w:ascii="仿宋_GB2312"/>
          <w:szCs w:val="28"/>
          <w:highlight w:val="none"/>
          <w:lang w:val="en-US" w:eastAsia="zh-CN"/>
        </w:rPr>
        <w:t>5</w:t>
      </w:r>
      <w:r>
        <w:rPr>
          <w:rFonts w:hint="eastAsia" w:ascii="仿宋_GB2312"/>
          <w:szCs w:val="28"/>
          <w:highlight w:val="none"/>
        </w:rPr>
        <w:t>个三级指标构成</w:t>
      </w:r>
      <w:r>
        <w:rPr>
          <w:rFonts w:hint="eastAsia" w:ascii="仿宋_GB2312"/>
          <w:szCs w:val="28"/>
        </w:rPr>
        <w:t>，权重为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pPr>
        <w:pStyle w:val="5"/>
        <w:ind w:firstLine="643"/>
      </w:pPr>
      <w:bookmarkStart w:id="47" w:name="_Toc165277249"/>
      <w:r>
        <w:rPr>
          <w:rFonts w:hint="eastAsia"/>
        </w:rPr>
        <w:t>1</w:t>
      </w:r>
      <w:r>
        <w:t>.</w:t>
      </w:r>
      <w:r>
        <w:rPr>
          <w:rFonts w:hint="eastAsia"/>
        </w:rPr>
        <w:t>产出数量</w:t>
      </w:r>
      <w:bookmarkEnd w:id="47"/>
    </w:p>
    <w:p>
      <w:pPr>
        <w:spacing w:line="360" w:lineRule="auto"/>
        <w:ind w:firstLine="560"/>
        <w:rPr>
          <w:rFonts w:hint="eastAsia" w:ascii="仿宋_GB2312"/>
          <w:bCs/>
          <w:szCs w:val="28"/>
          <w:lang w:val="en-US" w:eastAsia="zh-CN"/>
        </w:rPr>
      </w:pPr>
      <w:r>
        <w:rPr>
          <w:rFonts w:hint="eastAsia" w:ascii="仿宋_GB2312"/>
          <w:bCs/>
          <w:szCs w:val="28"/>
        </w:rPr>
        <w:t>数量指标“软件开发工程师”的目标值是</w:t>
      </w:r>
      <w:r>
        <w:rPr>
          <w:rFonts w:hint="eastAsia" w:ascii="仿宋_GB2312"/>
          <w:bCs/>
          <w:szCs w:val="28"/>
          <w:lang w:val="en-US" w:eastAsia="zh-CN"/>
        </w:rPr>
        <w:t>8人</w:t>
      </w:r>
      <w:r>
        <w:rPr>
          <w:rFonts w:hint="eastAsia" w:ascii="仿宋_GB2312"/>
          <w:bCs/>
          <w:szCs w:val="28"/>
        </w:rPr>
        <w:t>，202</w:t>
      </w:r>
      <w:r>
        <w:rPr>
          <w:rFonts w:hint="eastAsia" w:ascii="仿宋_GB2312"/>
          <w:bCs/>
          <w:szCs w:val="28"/>
          <w:lang w:val="en-US" w:eastAsia="zh-CN"/>
        </w:rPr>
        <w:t>3</w:t>
      </w:r>
      <w:r>
        <w:rPr>
          <w:rFonts w:ascii="仿宋_GB2312"/>
          <w:bCs/>
          <w:szCs w:val="28"/>
        </w:rPr>
        <w:t>年度我单位实际完成</w:t>
      </w:r>
      <w:r>
        <w:rPr>
          <w:rFonts w:hint="eastAsia" w:ascii="仿宋_GB2312"/>
          <w:bCs/>
          <w:szCs w:val="28"/>
          <w:lang w:val="en-US" w:eastAsia="zh-CN"/>
        </w:rPr>
        <w:t>8人</w:t>
      </w:r>
      <w:r>
        <w:rPr>
          <w:rFonts w:hint="eastAsia" w:ascii="仿宋_GB2312"/>
          <w:bCs/>
          <w:szCs w:val="28"/>
        </w:rPr>
        <w:t>，</w:t>
      </w:r>
      <w:r>
        <w:rPr>
          <w:rFonts w:hint="eastAsia" w:ascii="仿宋_GB2312"/>
          <w:bCs/>
          <w:szCs w:val="28"/>
          <w:lang w:val="en-US" w:eastAsia="zh-CN"/>
        </w:rPr>
        <w:t>完成年度指标。</w:t>
      </w:r>
    </w:p>
    <w:p>
      <w:pPr>
        <w:spacing w:line="360" w:lineRule="auto"/>
        <w:ind w:firstLine="560"/>
        <w:rPr>
          <w:rFonts w:ascii="仿宋_GB2312"/>
          <w:bCs/>
          <w:szCs w:val="28"/>
        </w:rPr>
      </w:pPr>
      <w:r>
        <w:rPr>
          <w:rFonts w:hint="eastAsia" w:ascii="仿宋_GB2312"/>
          <w:bCs/>
          <w:szCs w:val="28"/>
        </w:rPr>
        <w:t>数量指标“接入企业数量”的目标值是</w:t>
      </w:r>
      <w:r>
        <w:rPr>
          <w:rFonts w:hint="eastAsia" w:ascii="仿宋_GB2312"/>
          <w:bCs/>
          <w:szCs w:val="28"/>
          <w:lang w:val="en-US" w:eastAsia="zh-CN"/>
        </w:rPr>
        <w:t>40</w:t>
      </w:r>
      <w:r>
        <w:rPr>
          <w:rFonts w:hint="eastAsia" w:ascii="仿宋_GB2312"/>
          <w:bCs/>
          <w:szCs w:val="28"/>
        </w:rPr>
        <w:t>个，</w:t>
      </w:r>
      <w:r>
        <w:rPr>
          <w:rFonts w:ascii="仿宋_GB2312"/>
          <w:bCs/>
          <w:szCs w:val="28"/>
        </w:rPr>
        <w:t>2023年度我单位实际完成</w:t>
      </w:r>
      <w:r>
        <w:rPr>
          <w:rFonts w:hint="eastAsia" w:ascii="仿宋_GB2312"/>
          <w:bCs/>
          <w:szCs w:val="28"/>
          <w:lang w:val="en-US" w:eastAsia="zh-CN"/>
        </w:rPr>
        <w:t>40</w:t>
      </w:r>
      <w:r>
        <w:rPr>
          <w:rFonts w:hint="eastAsia" w:ascii="仿宋_GB2312"/>
          <w:bCs/>
          <w:szCs w:val="28"/>
        </w:rPr>
        <w:t>个，</w:t>
      </w:r>
      <w:r>
        <w:rPr>
          <w:rFonts w:hint="eastAsia" w:ascii="仿宋_GB2312"/>
          <w:bCs/>
          <w:szCs w:val="28"/>
          <w:lang w:val="en-US" w:eastAsia="zh-CN"/>
        </w:rPr>
        <w:t>完成年度指标。</w:t>
      </w:r>
    </w:p>
    <w:p>
      <w:pPr>
        <w:spacing w:line="360" w:lineRule="auto"/>
        <w:ind w:firstLine="562"/>
        <w:rPr>
          <w:rFonts w:ascii="仿宋_GB2312"/>
          <w:szCs w:val="28"/>
        </w:rPr>
      </w:pPr>
      <w:r>
        <w:rPr>
          <w:rFonts w:hint="eastAsia" w:ascii="仿宋_GB2312"/>
          <w:b/>
          <w:bCs/>
          <w:szCs w:val="28"/>
        </w:rPr>
        <w:t>实际完成率：</w:t>
      </w:r>
      <w:r>
        <w:rPr>
          <w:rFonts w:hint="eastAsia" w:ascii="仿宋_GB2312"/>
          <w:bCs/>
          <w:szCs w:val="28"/>
        </w:rPr>
        <w:t>软件开发工程师</w:t>
      </w:r>
      <w:r>
        <w:rPr>
          <w:rFonts w:hint="eastAsia" w:ascii="仿宋_GB2312"/>
          <w:bCs/>
          <w:szCs w:val="28"/>
          <w:lang w:eastAsia="zh-CN"/>
        </w:rPr>
        <w:t>、</w:t>
      </w:r>
      <w:r>
        <w:rPr>
          <w:rFonts w:hint="eastAsia" w:ascii="仿宋_GB2312"/>
          <w:bCs/>
          <w:szCs w:val="28"/>
        </w:rPr>
        <w:t>接入企业数量</w:t>
      </w:r>
      <w:r>
        <w:rPr>
          <w:rFonts w:hint="eastAsia" w:ascii="仿宋_GB2312"/>
          <w:bCs/>
          <w:szCs w:val="28"/>
          <w:lang w:val="en-US" w:eastAsia="zh-CN"/>
        </w:rPr>
        <w:t>达成年度指标值，</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pPr>
        <w:pStyle w:val="5"/>
        <w:ind w:firstLine="643"/>
      </w:pPr>
      <w:bookmarkStart w:id="48" w:name="_Toc165277250"/>
      <w:r>
        <w:rPr>
          <w:rFonts w:hint="eastAsia"/>
        </w:rPr>
        <w:t>2</w:t>
      </w:r>
      <w:r>
        <w:t>.</w:t>
      </w:r>
      <w:r>
        <w:rPr>
          <w:rFonts w:hint="eastAsia"/>
        </w:rPr>
        <w:t>产出质量</w:t>
      </w:r>
      <w:bookmarkEnd w:id="48"/>
    </w:p>
    <w:p>
      <w:pPr>
        <w:spacing w:line="360" w:lineRule="auto"/>
        <w:ind w:firstLine="562"/>
        <w:rPr>
          <w:rFonts w:ascii="仿宋_GB2312"/>
          <w:szCs w:val="28"/>
        </w:rPr>
      </w:pPr>
      <w:r>
        <w:rPr>
          <w:rFonts w:hint="eastAsia" w:ascii="仿宋_GB2312"/>
          <w:b/>
          <w:bCs/>
          <w:szCs w:val="28"/>
        </w:rPr>
        <w:t>系统故障修复率：</w:t>
      </w:r>
      <w:r>
        <w:rPr>
          <w:rFonts w:hint="eastAsia" w:ascii="仿宋_GB2312"/>
          <w:bCs/>
          <w:szCs w:val="28"/>
          <w:lang w:val="en-US" w:eastAsia="zh-CN"/>
        </w:rPr>
        <w:t>质量</w:t>
      </w:r>
      <w:r>
        <w:rPr>
          <w:rFonts w:hint="eastAsia" w:ascii="仿宋_GB2312"/>
          <w:bCs/>
          <w:szCs w:val="28"/>
        </w:rPr>
        <w:t>指标“系统故障修复率”的目标值是</w:t>
      </w:r>
      <w:r>
        <w:rPr>
          <w:rFonts w:hint="eastAsia" w:ascii="仿宋_GB2312"/>
          <w:bCs/>
          <w:szCs w:val="28"/>
          <w:lang w:val="en-US" w:eastAsia="zh-CN"/>
        </w:rPr>
        <w:t>100%，</w:t>
      </w:r>
      <w:r>
        <w:rPr>
          <w:rFonts w:hint="eastAsia" w:ascii="仿宋_GB2312"/>
          <w:bCs/>
          <w:szCs w:val="28"/>
          <w:highlight w:val="none"/>
          <w:lang w:val="en-US" w:eastAsia="zh-CN"/>
        </w:rPr>
        <w:t>我单位在实施过程中，根据合同约定，发现的故障均已全部修复，</w:t>
      </w:r>
      <w:r>
        <w:rPr>
          <w:rFonts w:hint="eastAsia" w:ascii="仿宋_GB2312"/>
          <w:szCs w:val="28"/>
        </w:rPr>
        <w:t>质量达标率得分为</w:t>
      </w:r>
      <w:r>
        <w:rPr>
          <w:rFonts w:hint="eastAsia" w:ascii="仿宋_GB2312"/>
          <w:szCs w:val="28"/>
          <w:lang w:val="en-US" w:eastAsia="zh-CN"/>
        </w:rPr>
        <w:t>10</w:t>
      </w:r>
      <w:r>
        <w:rPr>
          <w:rFonts w:hint="eastAsia" w:ascii="仿宋_GB2312"/>
          <w:szCs w:val="28"/>
        </w:rPr>
        <w:t>分。</w:t>
      </w:r>
    </w:p>
    <w:p>
      <w:pPr>
        <w:pStyle w:val="5"/>
        <w:ind w:firstLine="643"/>
      </w:pPr>
      <w:bookmarkStart w:id="49" w:name="_Toc165277251"/>
      <w:r>
        <w:rPr>
          <w:rFonts w:hint="eastAsia"/>
        </w:rPr>
        <w:t>3</w:t>
      </w:r>
      <w:r>
        <w:t>.</w:t>
      </w:r>
      <w:r>
        <w:rPr>
          <w:rFonts w:hint="eastAsia"/>
        </w:rPr>
        <w:t>产出时效</w:t>
      </w:r>
      <w:bookmarkEnd w:id="49"/>
    </w:p>
    <w:p>
      <w:pPr>
        <w:spacing w:line="360" w:lineRule="auto"/>
        <w:ind w:firstLine="562"/>
        <w:rPr>
          <w:rFonts w:ascii="仿宋_GB2312"/>
          <w:b/>
          <w:bCs/>
          <w:szCs w:val="28"/>
        </w:rPr>
      </w:pPr>
      <w:r>
        <w:rPr>
          <w:rFonts w:hint="eastAsia" w:ascii="仿宋_GB2312"/>
          <w:b/>
          <w:bCs/>
          <w:szCs w:val="28"/>
        </w:rPr>
        <w:t>平均故障修复时间：</w:t>
      </w:r>
    </w:p>
    <w:p>
      <w:pPr>
        <w:spacing w:line="360" w:lineRule="auto"/>
        <w:ind w:firstLine="560"/>
        <w:rPr>
          <w:rFonts w:ascii="仿宋_GB2312"/>
          <w:szCs w:val="28"/>
        </w:rPr>
      </w:pPr>
      <w:r>
        <w:rPr>
          <w:rFonts w:hint="eastAsia" w:ascii="仿宋_GB2312"/>
          <w:bCs/>
          <w:szCs w:val="28"/>
          <w:highlight w:val="none"/>
          <w:lang w:val="en-US" w:eastAsia="zh-CN"/>
        </w:rPr>
        <w:t>我单位在实施过程中，根据合同约定，平均故障修复时长16小时</w:t>
      </w:r>
      <w:r>
        <w:rPr>
          <w:rFonts w:hint="eastAsia" w:ascii="仿宋_GB2312"/>
          <w:bCs/>
          <w:szCs w:val="28"/>
          <w:highlight w:val="none"/>
        </w:rPr>
        <w:t>，</w:t>
      </w: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pPr>
        <w:pStyle w:val="5"/>
        <w:ind w:firstLine="643"/>
      </w:pPr>
      <w:bookmarkStart w:id="50" w:name="_Toc165277252"/>
      <w:r>
        <w:rPr>
          <w:rFonts w:hint="eastAsia"/>
        </w:rPr>
        <w:t>4</w:t>
      </w:r>
      <w:r>
        <w:rPr>
          <w:highlight w:val="none"/>
        </w:rPr>
        <w:t>.</w:t>
      </w:r>
      <w:r>
        <w:rPr>
          <w:rFonts w:hint="eastAsia"/>
          <w:highlight w:val="none"/>
        </w:rPr>
        <w:t>产出成本</w:t>
      </w:r>
      <w:bookmarkEnd w:id="50"/>
    </w:p>
    <w:p>
      <w:pPr>
        <w:spacing w:line="360" w:lineRule="auto"/>
        <w:ind w:firstLine="562"/>
        <w:rPr>
          <w:rFonts w:ascii="仿宋_GB2312"/>
          <w:b/>
          <w:bCs/>
          <w:szCs w:val="28"/>
        </w:rPr>
      </w:pPr>
      <w:bookmarkStart w:id="51" w:name="_Toc67911615"/>
      <w:bookmarkStart w:id="52" w:name="_Toc165277253"/>
      <w:r>
        <w:rPr>
          <w:rFonts w:hint="eastAsia" w:ascii="仿宋_GB2312"/>
          <w:b/>
          <w:bCs/>
          <w:szCs w:val="28"/>
          <w:lang w:val="en-US" w:eastAsia="zh-CN"/>
        </w:rPr>
        <w:t>预算执行率</w:t>
      </w:r>
      <w:r>
        <w:rPr>
          <w:rFonts w:hint="eastAsia" w:ascii="仿宋_GB2312"/>
          <w:b/>
          <w:bCs/>
          <w:szCs w:val="28"/>
        </w:rPr>
        <w:t>：</w:t>
      </w:r>
    </w:p>
    <w:p>
      <w:pPr>
        <w:spacing w:line="360" w:lineRule="auto"/>
        <w:ind w:firstLine="560"/>
        <w:rPr>
          <w:rFonts w:ascii="仿宋_GB2312"/>
          <w:szCs w:val="28"/>
        </w:rPr>
      </w:pPr>
      <w:r>
        <w:rPr>
          <w:rFonts w:hint="eastAsia" w:ascii="仿宋_GB2312"/>
          <w:bCs/>
          <w:szCs w:val="28"/>
          <w:highlight w:val="none"/>
          <w:lang w:val="en-US" w:eastAsia="zh-CN"/>
        </w:rPr>
        <w:t>我单位在实施过程中，根据合同约定，</w:t>
      </w:r>
      <w:r>
        <w:rPr>
          <w:rFonts w:hint="eastAsia" w:ascii="仿宋_GB2312"/>
          <w:highlight w:val="none"/>
          <w:lang w:val="en-US" w:eastAsia="zh-CN"/>
        </w:rPr>
        <w:t>按照合同要求，项目验收后支付合同额的65%，共计164.45</w:t>
      </w:r>
      <w:r>
        <w:rPr>
          <w:rFonts w:hint="eastAsia" w:ascii="仿宋_GB2312"/>
          <w:highlight w:val="none"/>
        </w:rPr>
        <w:t>万元</w:t>
      </w:r>
      <w:r>
        <w:rPr>
          <w:rFonts w:hint="eastAsia" w:ascii="仿宋_GB2312"/>
          <w:highlight w:val="none"/>
          <w:lang w:eastAsia="zh-CN"/>
        </w:rPr>
        <w:t>。</w:t>
      </w:r>
      <w:r>
        <w:rPr>
          <w:rFonts w:hint="eastAsia" w:ascii="仿宋_GB2312"/>
          <w:lang w:val="en-US" w:eastAsia="zh-CN"/>
        </w:rPr>
        <w:t>2023年6月到位164.45万元，于11月支付164.45万元</w:t>
      </w:r>
      <w:r>
        <w:rPr>
          <w:rFonts w:hint="eastAsia" w:ascii="仿宋_GB2312"/>
        </w:rPr>
        <w:t>，预算执行率</w:t>
      </w:r>
      <w:r>
        <w:rPr>
          <w:rFonts w:hint="eastAsia" w:ascii="仿宋_GB2312"/>
          <w:lang w:val="en-US" w:eastAsia="zh-CN"/>
        </w:rPr>
        <w:t>100%，不存在超支情况</w:t>
      </w:r>
      <w:r>
        <w:rPr>
          <w:rFonts w:hint="eastAsia" w:ascii="仿宋_GB2312"/>
        </w:rPr>
        <w:t>。</w:t>
      </w:r>
      <w:r>
        <w:rPr>
          <w:rFonts w:hint="eastAsia" w:ascii="仿宋_GB2312"/>
          <w:szCs w:val="28"/>
        </w:rPr>
        <w:t>故完成</w:t>
      </w:r>
      <w:r>
        <w:rPr>
          <w:rFonts w:hint="eastAsia" w:ascii="仿宋_GB2312"/>
          <w:szCs w:val="28"/>
          <w:lang w:val="en-US" w:eastAsia="zh-CN"/>
        </w:rPr>
        <w:t>率</w:t>
      </w:r>
      <w:r>
        <w:rPr>
          <w:rFonts w:hint="eastAsia" w:ascii="仿宋_GB2312"/>
          <w:szCs w:val="28"/>
        </w:rPr>
        <w:t>得分为</w:t>
      </w:r>
      <w:r>
        <w:rPr>
          <w:rFonts w:hint="eastAsia" w:ascii="仿宋_GB2312"/>
          <w:szCs w:val="28"/>
          <w:lang w:val="en-US" w:eastAsia="zh-CN"/>
        </w:rPr>
        <w:t>10</w:t>
      </w:r>
      <w:r>
        <w:rPr>
          <w:rFonts w:hint="eastAsia" w:ascii="仿宋_GB2312"/>
          <w:szCs w:val="28"/>
        </w:rPr>
        <w:t>分。</w:t>
      </w:r>
    </w:p>
    <w:p>
      <w:pPr>
        <w:pStyle w:val="4"/>
        <w:ind w:firstLine="643"/>
        <w:rPr>
          <w:rFonts w:ascii="仿宋" w:hAnsi="仿宋" w:eastAsia="仿宋"/>
          <w:lang w:bidi="en-US"/>
        </w:rPr>
      </w:pPr>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hint="eastAsia" w:ascii="仿宋_GB2312"/>
          <w:szCs w:val="28"/>
          <w:lang w:val="en-US" w:eastAsia="zh-CN"/>
        </w:rPr>
        <w:t>2</w:t>
      </w:r>
      <w:r>
        <w:rPr>
          <w:rFonts w:hint="eastAsia" w:ascii="仿宋_GB2312"/>
          <w:szCs w:val="28"/>
        </w:rPr>
        <w:t>个二级指标和</w:t>
      </w:r>
      <w:r>
        <w:rPr>
          <w:rFonts w:hint="eastAsia" w:ascii="仿宋_GB2312"/>
          <w:szCs w:val="28"/>
          <w:lang w:val="en-US" w:eastAsia="zh-CN"/>
        </w:rPr>
        <w:t>3</w:t>
      </w:r>
      <w:r>
        <w:rPr>
          <w:rFonts w:hint="eastAsia" w:ascii="仿宋_GB2312"/>
          <w:szCs w:val="28"/>
        </w:rPr>
        <w:t>个三级指标构成，权重为</w:t>
      </w:r>
      <w:r>
        <w:rPr>
          <w:rFonts w:hint="eastAsia" w:ascii="仿宋_GB2312"/>
          <w:szCs w:val="28"/>
          <w:lang w:val="en-US" w:eastAsia="zh-CN"/>
        </w:rPr>
        <w:t>2</w:t>
      </w:r>
      <w:r>
        <w:rPr>
          <w:rFonts w:ascii="仿宋_GB2312"/>
          <w:szCs w:val="28"/>
        </w:rPr>
        <w:t>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r>
        <w:rPr>
          <w:rFonts w:ascii="仿宋_GB2312"/>
          <w:szCs w:val="28"/>
        </w:rPr>
        <w:t xml:space="preserve"> </w:t>
      </w:r>
    </w:p>
    <w:p>
      <w:pPr>
        <w:pStyle w:val="5"/>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hint="eastAsia" w:ascii="仿宋_GB2312"/>
          <w:szCs w:val="28"/>
          <w:lang w:val="en-US" w:eastAsia="zh-CN"/>
        </w:rPr>
      </w:pPr>
      <w:r>
        <w:rPr>
          <w:rFonts w:hint="eastAsia" w:ascii="仿宋_GB2312"/>
          <w:b/>
          <w:bCs/>
          <w:szCs w:val="28"/>
        </w:rPr>
        <w:t>社会效益指标</w:t>
      </w:r>
      <w:r>
        <w:rPr>
          <w:rFonts w:hint="eastAsia" w:ascii="仿宋_GB2312"/>
          <w:szCs w:val="28"/>
        </w:rPr>
        <w:t>：评价指标“实现监测数据的实时接入、企业风险的综合分析”，指标值：达成年度指标，实际完成值：达成年度指标。</w:t>
      </w:r>
      <w:r>
        <w:rPr>
          <w:rFonts w:hint="eastAsia" w:ascii="仿宋_GB2312"/>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仿宋_GB2312"/>
          <w:szCs w:val="28"/>
        </w:rPr>
        <w:t>评价指标“实现后期新进企业的统一规范”，指标值：达成年度指标，实际完成值：达成年度指标。本项目的实施</w:t>
      </w:r>
      <w:r>
        <w:rPr>
          <w:rFonts w:hint="eastAsia"/>
        </w:rPr>
        <w:t>本有利于创新部门的履职方式，提高部门工作的科学化水平；有利于通过多部门间信息共享交换，提高政府部门之间业务协同效率，推动政府信息资源共享公用，避免重复建设和资源浪费；有利于各部门转变工作作风，规范行政执法行为，统一执法标准，增强信息透明度，防止人为因素对行政执法的干预，促进党风廉政建设和依法行政，提高政府的公信力；有利于为各企业开展高质量的服务，提高部门的社会满意度；有利于进一步加强全市防灾、减灾、救灾的能力，最大</w:t>
      </w:r>
      <w:r>
        <w:t>程度</w:t>
      </w:r>
      <w:r>
        <w:rPr>
          <w:rFonts w:hint="eastAsia"/>
        </w:rPr>
        <w:t>降低</w:t>
      </w:r>
      <w:r>
        <w:t>国家、</w:t>
      </w:r>
      <w:r>
        <w:rPr>
          <w:rFonts w:hint="eastAsia"/>
        </w:rPr>
        <w:t>集体</w:t>
      </w:r>
      <w:r>
        <w:t>和个人</w:t>
      </w:r>
      <w:r>
        <w:rPr>
          <w:rFonts w:hint="eastAsia"/>
        </w:rPr>
        <w:t>生命财产的</w:t>
      </w:r>
      <w:r>
        <w:t>损失，减少政府</w:t>
      </w:r>
      <w:r>
        <w:rPr>
          <w:rFonts w:hint="eastAsia"/>
        </w:rPr>
        <w:t>支出</w:t>
      </w:r>
      <w:r>
        <w:t>、提高监管效益</w:t>
      </w:r>
      <w:r>
        <w:rPr>
          <w:rFonts w:hint="eastAsia"/>
        </w:rPr>
        <w:t>和全社会应对自然灾害及安全生产事故的能力。</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1</w:t>
      </w:r>
      <w:r>
        <w:rPr>
          <w:rFonts w:ascii="仿宋_GB2312" w:hAnsi="仿宋" w:cs="宋体"/>
          <w:b/>
          <w:kern w:val="0"/>
          <w:szCs w:val="28"/>
        </w:rPr>
        <w:t>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pPr>
        <w:pStyle w:val="5"/>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评价指标“企业满意度”，指标值：</w:t>
      </w:r>
      <w:r>
        <w:rPr>
          <w:rFonts w:hint="eastAsia" w:ascii="华文宋体" w:hAnsi="华文宋体" w:eastAsia="华文宋体"/>
          <w:szCs w:val="28"/>
        </w:rPr>
        <w:t>≥</w:t>
      </w:r>
      <w:r>
        <w:rPr>
          <w:rFonts w:hint="eastAsia" w:ascii="仿宋_GB2312" w:eastAsia="华文宋体"/>
          <w:szCs w:val="28"/>
          <w:lang w:val="en-US" w:eastAsia="zh-CN"/>
        </w:rPr>
        <w:t>90</w:t>
      </w:r>
      <w:r>
        <w:rPr>
          <w:rFonts w:hint="eastAsia" w:ascii="仿宋_GB2312"/>
          <w:szCs w:val="28"/>
        </w:rPr>
        <w:t>%，实际完成值：</w:t>
      </w:r>
      <w:r>
        <w:rPr>
          <w:rFonts w:hint="eastAsia" w:ascii="华文宋体" w:hAnsi="华文宋体" w:eastAsia="华文宋体"/>
          <w:szCs w:val="28"/>
          <w:lang w:val="en-US" w:eastAsia="zh-CN"/>
        </w:rPr>
        <w:t>100</w:t>
      </w:r>
      <w:r>
        <w:rPr>
          <w:rFonts w:hint="eastAsia" w:ascii="仿宋_GB2312"/>
          <w:szCs w:val="28"/>
        </w:rPr>
        <w:t>%。通过设置问卷调查的方式进行考评评价，共计调查样本总量为</w:t>
      </w:r>
      <w:r>
        <w:rPr>
          <w:rFonts w:hint="eastAsia" w:ascii="仿宋_GB2312"/>
          <w:szCs w:val="28"/>
          <w:lang w:val="en-US" w:eastAsia="zh-CN"/>
        </w:rPr>
        <w:t>20</w:t>
      </w:r>
      <w:r>
        <w:rPr>
          <w:rFonts w:hint="eastAsia" w:ascii="仿宋_GB2312"/>
          <w:szCs w:val="28"/>
        </w:rPr>
        <w:t>个样本，有效调查问卷</w:t>
      </w:r>
      <w:r>
        <w:rPr>
          <w:rFonts w:hint="eastAsia" w:ascii="仿宋_GB2312"/>
          <w:szCs w:val="28"/>
          <w:lang w:val="en-US" w:eastAsia="zh-CN"/>
        </w:rPr>
        <w:t>20</w:t>
      </w:r>
      <w:r>
        <w:rPr>
          <w:rFonts w:hint="eastAsia" w:ascii="仿宋_GB2312"/>
          <w:szCs w:val="28"/>
        </w:rPr>
        <w:t>份。其中，统计“企业满意度”的平均值为</w:t>
      </w:r>
      <w:r>
        <w:rPr>
          <w:rFonts w:hint="eastAsia" w:ascii="仿宋_GB2312"/>
          <w:szCs w:val="28"/>
          <w:lang w:val="en-US" w:eastAsia="zh-CN"/>
        </w:rPr>
        <w:t>100</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pPr>
        <w:pStyle w:val="3"/>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pPr>
        <w:pStyle w:val="4"/>
        <w:ind w:firstLine="643"/>
        <w:rPr>
          <w:rFonts w:ascii="仿宋" w:hAnsi="仿宋" w:eastAsia="仿宋"/>
          <w:highlight w:val="yellow"/>
          <w:lang w:bidi="en-US"/>
        </w:rPr>
      </w:pPr>
      <w:bookmarkStart w:id="57" w:name="_Toc67911618"/>
      <w:bookmarkStart w:id="58" w:name="_Toc165277257"/>
      <w:r>
        <w:rPr>
          <w:rFonts w:hint="eastAsia" w:ascii="仿宋" w:hAnsi="仿宋" w:eastAsia="仿宋"/>
          <w:lang w:bidi="en-US"/>
        </w:rPr>
        <w:t>（一）</w:t>
      </w:r>
      <w:r>
        <w:rPr>
          <w:rFonts w:hint="eastAsia" w:ascii="仿宋" w:hAnsi="仿宋" w:eastAsia="仿宋"/>
          <w:highlight w:val="none"/>
          <w:lang w:bidi="en-US"/>
        </w:rPr>
        <w:t>主要经验及做法</w:t>
      </w:r>
      <w:bookmarkEnd w:id="57"/>
      <w:bookmarkEnd w:id="58"/>
    </w:p>
    <w:p>
      <w:pPr>
        <w:numPr>
          <w:ilvl w:val="0"/>
          <w:numId w:val="1"/>
        </w:numPr>
        <w:spacing w:line="360" w:lineRule="auto"/>
        <w:rPr>
          <w:rFonts w:hint="default" w:ascii="Times New Roman" w:hAnsi="Times New Roman" w:eastAsia="方正楷体_GBK" w:cs="Times New Roman"/>
          <w:b/>
          <w:sz w:val="28"/>
          <w:szCs w:val="28"/>
        </w:rPr>
      </w:pPr>
      <w:bookmarkStart w:id="59" w:name="_Toc290365191"/>
      <w:bookmarkStart w:id="60" w:name="_Toc290365215"/>
      <w:r>
        <w:rPr>
          <w:rFonts w:hint="default" w:ascii="Times New Roman" w:hAnsi="Times New Roman" w:eastAsia="方正楷体_GBK" w:cs="Times New Roman"/>
          <w:b/>
          <w:sz w:val="28"/>
          <w:szCs w:val="28"/>
          <w:lang w:val="en-US" w:eastAsia="zh-CN"/>
        </w:rPr>
        <w:t>需</w:t>
      </w:r>
      <w:r>
        <w:rPr>
          <w:rFonts w:hint="default" w:ascii="Times New Roman" w:hAnsi="Times New Roman" w:eastAsia="方正楷体_GBK" w:cs="Times New Roman"/>
          <w:b/>
          <w:sz w:val="28"/>
          <w:szCs w:val="28"/>
        </w:rPr>
        <w:t>求方面</w:t>
      </w:r>
      <w:bookmarkEnd w:id="59"/>
      <w:bookmarkEnd w:id="60"/>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在系统上线过程中，出现调研数据项与实际数据项不一致的情况，导致在项目上线后部分数据项没有数据，为了能够使界面展示能够更美观，用户希望将没有数据的数据项去掉，结果去掉后没有多久，这部分数据项的数据就协调到位了，还需要将这部分数据项显示出来，这个事件说明，我们在需求控制和系统设计部分都存在一定的问题，没有控制住用户需求，没有充分考虑到数据项不到位对项目的风险，后续在系统设计过程中，需要多考虑相关问题。</w:t>
      </w:r>
    </w:p>
    <w:p>
      <w:pPr>
        <w:numPr>
          <w:ilvl w:val="0"/>
          <w:numId w:val="1"/>
        </w:numPr>
        <w:spacing w:line="360" w:lineRule="auto"/>
        <w:rPr>
          <w:rFonts w:hint="eastAsia" w:ascii="Times New Roman" w:hAnsi="Times New Roman" w:eastAsia="方正楷体_GBK" w:cs="Times New Roman"/>
          <w:b/>
          <w:sz w:val="28"/>
          <w:szCs w:val="28"/>
          <w:lang w:val="en-US" w:eastAsia="zh-CN"/>
        </w:rPr>
      </w:pPr>
      <w:bookmarkStart w:id="61" w:name="_Toc290365192"/>
      <w:bookmarkStart w:id="62" w:name="_Toc290365216"/>
      <w:r>
        <w:rPr>
          <w:rFonts w:hint="eastAsia" w:ascii="Times New Roman" w:hAnsi="Times New Roman" w:eastAsia="方正楷体_GBK" w:cs="Times New Roman"/>
          <w:b/>
          <w:sz w:val="28"/>
          <w:szCs w:val="28"/>
          <w:lang w:val="en-US" w:eastAsia="zh-CN"/>
        </w:rPr>
        <w:t>管理方面</w:t>
      </w:r>
      <w:bookmarkEnd w:id="61"/>
      <w:bookmarkEnd w:id="62"/>
    </w:p>
    <w:p>
      <w:pPr>
        <w:pStyle w:val="6"/>
        <w:spacing w:before="120" w:after="120"/>
        <w:ind w:left="0" w:leftChars="0" w:firstLine="420" w:firstLineChars="0"/>
        <w:rPr>
          <w:rFonts w:ascii="仿宋_GB2312" w:hAnsi="仿宋" w:cs="宋体"/>
          <w:kern w:val="0"/>
          <w:szCs w:val="28"/>
        </w:rPr>
      </w:pPr>
      <w:r>
        <w:rPr>
          <w:rFonts w:hint="eastAsia" w:ascii="仿宋_GB2312" w:hAnsi="Calibri" w:eastAsia="仿宋_GB2312" w:cs="黑体"/>
          <w:kern w:val="2"/>
          <w:sz w:val="28"/>
          <w:szCs w:val="28"/>
          <w:lang w:val="en-US" w:eastAsia="zh-CN" w:bidi="ar-SA"/>
        </w:rPr>
        <w:t>日常工作过程中，团队成员之间的个人工作沟通多采用微信、电话、邮件形式进行沟通，这种方式沟通方便，速度快，很快能得到结果；缺点是，信息在传播过程中容易失真。采用周报、项目例会等沟通方式，可以集思广益，沟通效果好，沟通结果也会被存档备案，有较强的约束力，且可以作为日后项目验收和查找问题责任的依据，缺点是花费时间长，沟通速度慢。</w:t>
      </w:r>
    </w:p>
    <w:p>
      <w:pPr>
        <w:pStyle w:val="4"/>
        <w:ind w:firstLine="643"/>
        <w:rPr>
          <w:rFonts w:ascii="仿宋" w:hAnsi="仿宋" w:eastAsia="仿宋"/>
          <w:highlight w:val="yellow"/>
          <w:lang w:bidi="en-US"/>
        </w:rPr>
      </w:pPr>
      <w:bookmarkStart w:id="63" w:name="_Toc165277258"/>
      <w:r>
        <w:rPr>
          <w:rFonts w:hint="eastAsia" w:ascii="仿宋" w:hAnsi="仿宋" w:eastAsia="仿宋"/>
          <w:lang w:bidi="en-US"/>
        </w:rPr>
        <w:t>（二）</w:t>
      </w:r>
      <w:r>
        <w:rPr>
          <w:rFonts w:hint="eastAsia" w:ascii="仿宋" w:hAnsi="仿宋" w:eastAsia="仿宋"/>
          <w:highlight w:val="none"/>
          <w:lang w:bidi="en-US"/>
        </w:rPr>
        <w:t>存在的问题及原因分析</w:t>
      </w:r>
      <w:bookmarkEnd w:id="63"/>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1.明确需求范围</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在项目启动前期，需要明确建设内容。包括业务流程、功能清单、性能指标、技术选型等。通过建设方案和Demo的形式，反复确认建设范围。双方确认后，签字盖章，项目后续开发工作一次为基准进行。避免因需求不明确、范围不清晰、理解不一致等导致的进度延误、质量较低等问题。</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2、细化开发计划</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分解细化系统功能，到不可分解程度。以此为基础编制工作计划，工作任务分配到人，明确任务周期，偏于成体进度的控制和质量的把控。</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3、与业主定期沟通</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形成定期沟通机制，如通过例会等形式，定期汇报项目进展。避免消息不同步等问题。</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4、明确验收标准</w:t>
      </w:r>
    </w:p>
    <w:p>
      <w:pPr>
        <w:pStyle w:val="6"/>
        <w:spacing w:before="120" w:after="120"/>
        <w:ind w:left="0" w:leftChars="0" w:firstLine="420" w:firstLineChars="0"/>
        <w:rPr>
          <w:rFonts w:hint="eastAsia" w:ascii="仿宋_GB2312" w:hAnsi="Calibri" w:eastAsia="仿宋_GB2312" w:cs="黑体"/>
          <w:kern w:val="2"/>
          <w:sz w:val="28"/>
          <w:szCs w:val="28"/>
          <w:lang w:val="en-US" w:eastAsia="zh-CN" w:bidi="ar-SA"/>
        </w:rPr>
      </w:pPr>
      <w:r>
        <w:rPr>
          <w:rFonts w:hint="eastAsia" w:ascii="仿宋_GB2312" w:hAnsi="Calibri" w:eastAsia="仿宋_GB2312" w:cs="黑体"/>
          <w:kern w:val="2"/>
          <w:sz w:val="28"/>
          <w:szCs w:val="28"/>
          <w:lang w:val="en-US" w:eastAsia="zh-CN" w:bidi="ar-SA"/>
        </w:rPr>
        <w:t xml:space="preserve">   以前期约定需求及建设方案为标准，明确验收条件，根据项目进度确定验收时间。目标明确，便于实施工作顺利开展。</w:t>
      </w:r>
    </w:p>
    <w:p>
      <w:pPr>
        <w:spacing w:line="360" w:lineRule="auto"/>
        <w:ind w:firstLine="560"/>
        <w:rPr>
          <w:rFonts w:ascii="仿宋_GB2312" w:hAnsi="仿宋" w:cs="宋体"/>
          <w:kern w:val="0"/>
          <w:szCs w:val="28"/>
        </w:rPr>
      </w:pPr>
    </w:p>
    <w:p>
      <w:pPr>
        <w:pStyle w:val="3"/>
        <w:numPr>
          <w:ilvl w:val="0"/>
          <w:numId w:val="2"/>
        </w:numPr>
        <w:ind w:firstLine="0" w:firstLineChars="0"/>
        <w:jc w:val="left"/>
        <w:rPr>
          <w:rFonts w:ascii="仿宋" w:hAnsi="仿宋" w:eastAsia="仿宋"/>
          <w:sz w:val="36"/>
          <w:szCs w:val="36"/>
          <w:lang w:bidi="en-US"/>
        </w:rPr>
      </w:pPr>
      <w:bookmarkStart w:id="64" w:name="_Toc67911620"/>
      <w:bookmarkStart w:id="65" w:name="_Toc165277259"/>
      <w:bookmarkStart w:id="66" w:name="_Toc67911619"/>
      <w:r>
        <w:rPr>
          <w:rFonts w:hint="eastAsia" w:ascii="仿宋" w:hAnsi="仿宋" w:eastAsia="仿宋"/>
          <w:sz w:val="36"/>
          <w:szCs w:val="36"/>
          <w:lang w:bidi="en-US"/>
        </w:rPr>
        <w:t>有关建议</w:t>
      </w:r>
      <w:bookmarkEnd w:id="64"/>
    </w:p>
    <w:bookmarkEnd w:id="65"/>
    <w:p>
      <w:pPr>
        <w:snapToGrid w:val="0"/>
        <w:spacing w:line="540" w:lineRule="exact"/>
        <w:ind w:firstLine="596" w:firstLineChars="213"/>
        <w:rPr>
          <w:rFonts w:ascii="仿宋" w:hAnsi="仿宋" w:eastAsia="仿宋"/>
          <w:sz w:val="36"/>
          <w:szCs w:val="36"/>
          <w:lang w:bidi="en-US"/>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3"/>
        <w:ind w:firstLine="0" w:firstLineChars="0"/>
        <w:jc w:val="left"/>
        <w:rPr>
          <w:rFonts w:ascii="仿宋" w:hAnsi="仿宋" w:eastAsia="仿宋"/>
          <w:sz w:val="36"/>
          <w:szCs w:val="36"/>
          <w:lang w:bidi="en-US"/>
        </w:rPr>
      </w:pPr>
      <w:bookmarkStart w:id="67" w:name="_Toc165277260"/>
      <w:r>
        <w:rPr>
          <w:rFonts w:hint="eastAsia" w:ascii="仿宋" w:hAnsi="仿宋" w:eastAsia="仿宋"/>
          <w:sz w:val="36"/>
          <w:szCs w:val="36"/>
          <w:lang w:bidi="en-US"/>
        </w:rPr>
        <w:t>七、其他需要说明的问题</w:t>
      </w:r>
      <w:bookmarkEnd w:id="66"/>
      <w:bookmarkEnd w:id="67"/>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w:t>
      </w:r>
      <w:r>
        <w:rPr>
          <w:rFonts w:hint="eastAsia" w:ascii="仿宋_GB2312"/>
          <w:szCs w:val="28"/>
          <w:lang w:val="en-US" w:eastAsia="zh-CN"/>
        </w:rPr>
        <w:t>建设</w:t>
      </w:r>
      <w:r>
        <w:rPr>
          <w:rFonts w:hint="eastAsia" w:ascii="仿宋_GB2312"/>
          <w:szCs w:val="28"/>
        </w:rPr>
        <w:t>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42"/>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53EEA"/>
    <w:multiLevelType w:val="multilevel"/>
    <w:tmpl w:val="13653EE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3A40720"/>
    <w:multiLevelType w:val="singleLevel"/>
    <w:tmpl w:val="63A40720"/>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TI4NTdmMTc5ZWU1MDY4NzcyZmQyNTNhYWM0Y2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097C36"/>
    <w:rsid w:val="049E2CB3"/>
    <w:rsid w:val="05453FE3"/>
    <w:rsid w:val="05B541A6"/>
    <w:rsid w:val="086B2D03"/>
    <w:rsid w:val="09231E99"/>
    <w:rsid w:val="0AAC3DCB"/>
    <w:rsid w:val="0AE37AB5"/>
    <w:rsid w:val="0E395D20"/>
    <w:rsid w:val="0F1F3AF7"/>
    <w:rsid w:val="10833B67"/>
    <w:rsid w:val="13086147"/>
    <w:rsid w:val="15D31197"/>
    <w:rsid w:val="166E4862"/>
    <w:rsid w:val="192166BD"/>
    <w:rsid w:val="1C4D015E"/>
    <w:rsid w:val="1D7C2114"/>
    <w:rsid w:val="20482782"/>
    <w:rsid w:val="20A752C9"/>
    <w:rsid w:val="21E3136A"/>
    <w:rsid w:val="238E2938"/>
    <w:rsid w:val="23C860B3"/>
    <w:rsid w:val="24825F40"/>
    <w:rsid w:val="25D31EAA"/>
    <w:rsid w:val="275639D6"/>
    <w:rsid w:val="27BF5A1F"/>
    <w:rsid w:val="2AAB5DE7"/>
    <w:rsid w:val="2C6B7F24"/>
    <w:rsid w:val="2CDA6E57"/>
    <w:rsid w:val="2E234B41"/>
    <w:rsid w:val="2E47051C"/>
    <w:rsid w:val="30682992"/>
    <w:rsid w:val="31025CFC"/>
    <w:rsid w:val="33FF3424"/>
    <w:rsid w:val="37932CA4"/>
    <w:rsid w:val="38012B89"/>
    <w:rsid w:val="3A441C2D"/>
    <w:rsid w:val="3B424545"/>
    <w:rsid w:val="3C4145A2"/>
    <w:rsid w:val="3D251A29"/>
    <w:rsid w:val="3F1C5008"/>
    <w:rsid w:val="3F403CED"/>
    <w:rsid w:val="40D61F91"/>
    <w:rsid w:val="41186603"/>
    <w:rsid w:val="43973786"/>
    <w:rsid w:val="43D25C86"/>
    <w:rsid w:val="43F17A2B"/>
    <w:rsid w:val="4743767B"/>
    <w:rsid w:val="483419E9"/>
    <w:rsid w:val="48F84495"/>
    <w:rsid w:val="49415E3C"/>
    <w:rsid w:val="4A677B24"/>
    <w:rsid w:val="4A897A9B"/>
    <w:rsid w:val="4B413ED2"/>
    <w:rsid w:val="4C252969"/>
    <w:rsid w:val="4C5D0E74"/>
    <w:rsid w:val="4EF83441"/>
    <w:rsid w:val="4F7D5621"/>
    <w:rsid w:val="50BF5CCD"/>
    <w:rsid w:val="521C5DB3"/>
    <w:rsid w:val="52B2639C"/>
    <w:rsid w:val="55C4407D"/>
    <w:rsid w:val="577E64AD"/>
    <w:rsid w:val="57AB0372"/>
    <w:rsid w:val="58622951"/>
    <w:rsid w:val="58737694"/>
    <w:rsid w:val="5AC61381"/>
    <w:rsid w:val="5C392A2D"/>
    <w:rsid w:val="5CD674FB"/>
    <w:rsid w:val="5D791F0E"/>
    <w:rsid w:val="603E2C7E"/>
    <w:rsid w:val="60C74A21"/>
    <w:rsid w:val="64A86918"/>
    <w:rsid w:val="667B0F02"/>
    <w:rsid w:val="67F30EA3"/>
    <w:rsid w:val="694F3806"/>
    <w:rsid w:val="6AAA1543"/>
    <w:rsid w:val="6AB97471"/>
    <w:rsid w:val="707A0DD5"/>
    <w:rsid w:val="709675C1"/>
    <w:rsid w:val="72341240"/>
    <w:rsid w:val="731C5246"/>
    <w:rsid w:val="75A87C61"/>
    <w:rsid w:val="762634F2"/>
    <w:rsid w:val="768F38B8"/>
    <w:rsid w:val="78727863"/>
    <w:rsid w:val="7AA03EC1"/>
    <w:rsid w:val="7AED7949"/>
    <w:rsid w:val="7B173082"/>
    <w:rsid w:val="7B6741AE"/>
    <w:rsid w:val="7EDC7492"/>
    <w:rsid w:val="7EE14FC9"/>
    <w:rsid w:val="7EF6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widowControl/>
      <w:jc w:val="center"/>
    </w:pPr>
    <w:rPr>
      <w:rFonts w:ascii="宋体"/>
      <w:kern w:val="0"/>
      <w:sz w:val="24"/>
      <w:szCs w:val="21"/>
    </w:rPr>
  </w:style>
  <w:style w:type="paragraph" w:styleId="6">
    <w:name w:val="Normal Indent"/>
    <w:basedOn w:val="1"/>
    <w:uiPriority w:val="0"/>
    <w:pPr>
      <w:widowControl/>
      <w:spacing w:before="156" w:beforeLines="50" w:after="156" w:afterLines="50" w:line="360" w:lineRule="auto"/>
      <w:ind w:left="960" w:leftChars="400" w:firstLine="480" w:firstLineChars="200"/>
      <w:jc w:val="left"/>
    </w:pPr>
    <w:rPr>
      <w:sz w:val="24"/>
      <w:szCs w:val="20"/>
    </w:rPr>
  </w:style>
  <w:style w:type="paragraph" w:styleId="7">
    <w:name w:val="annotation text"/>
    <w:basedOn w:val="1"/>
    <w:link w:val="33"/>
    <w:unhideWhenUsed/>
    <w:qFormat/>
    <w:uiPriority w:val="99"/>
    <w:pPr>
      <w:jc w:val="left"/>
    </w:pPr>
  </w:style>
  <w:style w:type="paragraph" w:styleId="8">
    <w:name w:val="Body Text Indent"/>
    <w:basedOn w:val="1"/>
    <w:unhideWhenUsed/>
    <w:qFormat/>
    <w:uiPriority w:val="99"/>
    <w:pPr>
      <w:spacing w:after="120"/>
      <w:ind w:left="420" w:leftChars="200"/>
    </w:p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7"/>
    <w:next w:val="7"/>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4"/>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1">
    <w:name w:val="标题 1 Char"/>
    <w:basedOn w:val="20"/>
    <w:link w:val="3"/>
    <w:qFormat/>
    <w:uiPriority w:val="9"/>
    <w:rPr>
      <w:rFonts w:ascii="Calibri" w:hAnsi="Calibri" w:eastAsia="仿宋_GB2312" w:cs="黑体"/>
      <w:b/>
      <w:bCs/>
      <w:kern w:val="44"/>
      <w:sz w:val="44"/>
      <w:szCs w:val="44"/>
    </w:rPr>
  </w:style>
  <w:style w:type="paragraph" w:customStyle="1" w:styleId="32">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7"/>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5"/>
    <w:qFormat/>
    <w:uiPriority w:val="9"/>
    <w:rPr>
      <w:rFonts w:ascii="Calibri" w:hAnsi="Calibri" w:eastAsia="仿宋_GB2312" w:cs="黑体"/>
      <w:b/>
      <w:bCs/>
      <w:sz w:val="32"/>
      <w:szCs w:val="32"/>
    </w:rPr>
  </w:style>
  <w:style w:type="paragraph" w:customStyle="1" w:styleId="37">
    <w:name w:val="*正文"/>
    <w:basedOn w:val="1"/>
    <w:qFormat/>
    <w:uiPriority w:val="0"/>
    <w:pPr>
      <w:widowControl w:val="0"/>
      <w:shd w:val="clear" w:color="auto" w:fill="auto"/>
      <w:ind w:firstLine="200"/>
      <w:jc w:val="both"/>
    </w:pPr>
  </w:style>
  <w:style w:type="paragraph" w:customStyle="1" w:styleId="38">
    <w:name w:val="标准正文"/>
    <w:basedOn w:val="8"/>
    <w:qFormat/>
    <w:uiPriority w:val="0"/>
    <w:pPr>
      <w:adjustRightInd/>
      <w:spacing w:before="60" w:after="60"/>
      <w:ind w:left="0" w:leftChars="0" w:firstLine="482" w:firstLineChars="200"/>
      <w:textAlignment w:val="auto"/>
    </w:pPr>
    <w:rPr>
      <w:rFonts w:ascii="Arial" w:hAnsi="Arial"/>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24</Pages>
  <Words>1735</Words>
  <Characters>9892</Characters>
  <Lines>82</Lines>
  <Paragraphs>23</Paragraphs>
  <TotalTime>8</TotalTime>
  <ScaleCrop>false</ScaleCrop>
  <LinksUpToDate>false</LinksUpToDate>
  <CharactersWithSpaces>11604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cp:lastModifiedBy>
  <cp:lastPrinted>2023-04-11T02:57:00Z</cp:lastPrinted>
  <dcterms:modified xsi:type="dcterms:W3CDTF">2024-08-20T03:09:55Z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87F1D0C47E1F40E9BD6A904759BEB3A5_13</vt:lpwstr>
  </property>
</Properties>
</file>