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val="en-US" w:eastAsia="zh-CN"/>
        </w:rPr>
        <w:t>乌鲁木齐市</w:t>
      </w:r>
      <w:r>
        <w:rPr>
          <w:rFonts w:hint="eastAsia" w:ascii="方正小标宋_GBK" w:hAnsi="华文中宋" w:eastAsia="方正小标宋_GBK" w:cs="宋体"/>
          <w:b/>
          <w:kern w:val="0"/>
          <w:sz w:val="48"/>
          <w:szCs w:val="48"/>
        </w:rPr>
        <w:t>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2021</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教师代课费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乌鲁木齐市青少年宫</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乌鲁木齐市青少年宫</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于建平、李莉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2022年05月23日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相关文件，教师代课费项目，各级团组织和西部计划项目办一定要把志愿者的精神、热情、专长和志愿服务时间有机结合起来，保护好、引导好志愿者身上所体现的理想主义追求和工作热情，不断激发他们的工作创造性，为他们做好一切保障工作。</w:t>
        <w:br/>
        <w:t>经相关文件批准，该项目资金得以保障，项目施工期计划为长期，具体为2019年。项目系2021年预算内资金，共安排资金381万元，于2021年年初预算，资金全部到位且全部支付完毕，年中没有对资金进行调增、调减。</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长期，为总体绩效目标，各级团组织和西部计划项目办一定要把志愿者的精神、热情、专长和志愿服务时间有机结合起来，保护好、引导好志愿者身上所体现的理想主义追求和工作热情，不断激发他们的工作创造性，为他们做好一切保障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（1）绩效评价的对象：教师代课费</w:t>
        <w:br/>
        <w:t>（2）绩效评价范围：</w:t>
        <w:br/>
        <w:t>1.项目范围：教师代课费的完成情况、资金投入的运行情况、项目实施后产生的绩效及影响效果。</w:t>
        <w:br/>
        <w:t>2.时间范围：2021年1月1日至2021年12月31日。</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根据本项目（教师代课费）的特点，本次评价主要采用比较法和公众评判法，对项目总预算和明细预算的内容、标准、计划是否经济合理进行深入分析，以考察实际产出和效益是否达到预期。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</w:t>
        <w:br/>
        <w:t>结合项目特点，制定符合项目实际的绩效评价指标体系及评分标准，通过数据采集、问卷调查及访谈等形式，对2021年教师代课费进行客观评价，最终评分结果为：总分为100分，绩效评级为“优” 。</w:t>
        <w:br/>
        <w:t>项目各部分权重和绩效分值如附表所示：</w:t>
        <w:br/>
        <w:t>（二）主要绩效</w:t>
        <w:br/>
        <w:t>该项目资金市财政及时拨付，共青团乌鲁木齐市委员会在此次评价期间内，有序完成设定目标的工作任务，组织培训班次175个，培训期数4期，教学教案合格率达到95%。</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教师代课费。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</w:t>
        <w:br/>
        <w:t>我单位组织相关工作小组对教师代课费项目进行了年初预算刨析，做到专款专用，良好的保障全年项目预算的支出。故预算编制科学性指标得分3分。</w:t>
        <w:br/>
        <w:t>资金分配合理性： 根据相关文件精神，该部分资金适合教师代课费项目，在项目运作后，可以良好的保障课外培训正常有序的开展以及相关教师的资金发放。故资金分配合理性指标得分3分。</w:t>
        <w:br/>
        <w:t>综上，该指标满分6分，得分6分。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项目过程指标由2个二级指标和5个三级指标构成，权重为20分，实际得分20分。</w:t>
        <w:br/>
        <w:t>1.资金管理</w:t>
        <w:br/>
        <w:t>资金到位率： 该项目资金由财政拨付，在2021年4月30日，资金拨付到单位由单位发放教师代课费经费。故资金到位率指标得分5分。</w:t>
        <w:br/>
        <w:t>预算执行率：我单位本年度项目开展情况良好项目资金全部支付完成。故预算执行率得分为5分。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管理制度健全性：乌鲁木齐市青少年宫已制定相应的财务和业务管理制度，且制度合法、合规、完整，为项目顺利实施提供重要保障。故管理制度健全性得分为3分。</w:t>
        <w:br/>
        <w:t>制度执行有效性：根据现场调研和资料抽查情况，乌鲁木齐市青少年宫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项目产出指标由4个二级指标和4个三级指标构成，权重为40分，实际得分40分。</w:t>
        <w:br/>
        <w:t>1.产出数量</w:t>
        <w:br/>
        <w:t>数量指标“培训班次、培训期数”的目标值是175个、4期 ，2021年度我单位实际完成175个、4期；</w:t>
        <w:br/>
        <w:t>数量指标“培训课时、培训学生数”的目标值是≥25000课时、≥5500人，2021年度我单位开展25000课时、培训5500人；</w:t>
        <w:br/>
        <w:t>实际完成率：100%，故实际完成率得分为10分。</w:t>
        <w:br/>
        <w:t>2.产出质量</w:t>
        <w:br/>
        <w:t>质量指标：教学教案合格率的目标值是≥95%，2021年我单位实际完成值是95%，质量达标率得分为10分。</w:t>
        <w:br/>
        <w:t>3.产出时效</w:t>
        <w:br/>
        <w:t>完成及时性：</w:t>
        <w:br/>
        <w:t>项目完成时间的目标值是=12个月，2021年度我单位实际完成值是12个月；故完成及时性得分为10分。</w:t>
        <w:br/>
        <w:t>4.产出成本</w:t>
        <w:br/>
        <w:t>成本节约率：</w:t>
        <w:br/>
        <w:t>课时成本的目标值是≥150元，2021年度我单位实际完成值是150元；长聘教师及教辅人员月劳务成本的目标值是≥4200元，2021年我单位实际完成值是4200元；项目年度成本支出的目标值是≤381万元，我单位实际完成值是381万元；</w:t>
        <w:br/>
        <w:t>故得分为10分。</w:t>
        <w:br/>
        <w:t>综上，该指标满分40分，得分40分。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</w:t>
        <w:br/>
        <w:t>项目效益指标由1个二级指标和2个三级指标构成，权重为20分，实际得分20分。 </w:t>
        <w:br/>
        <w:t>1.项目效益</w:t>
        <w:br/>
        <w:t>（1）实施效益</w:t>
        <w:br/>
        <w:t>经济效益指标：非税收入增长率的目标值是≥1%，2021年我单位实际完成值是1%； </w:t>
        <w:br/>
        <w:t>社会效益指标：评价指标“把志愿者的精神、热情、专长和志愿服务时间有机会结合起来，保护好、引导好志愿者身上所体现的理想主义追求和工作热情，不断激发他们的工作创造性，为他们做好一切保障工作，提高社会效率”，指标值：显著提高，实际完成值：达成年度指标。本项目的实施保护好、引导好志愿者身上所体现的理想主义追求和工作热情，不断激发他们的工作创造性。</w:t>
        <w:br/>
        <w:t>生态效益指标：不适用。</w:t>
        <w:br/>
        <w:t>可持续影响指标：不适用。</w:t>
        <w:br/>
        <w:t>综上，该指标满分10分，得分10分。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Style w:val="18"/>
          <w:rFonts w:hint="eastAsia" w:ascii="楷体" w:hAnsi="楷体" w:eastAsia="楷体"/>
          <w:spacing w:val="-4"/>
          <w:sz w:val="32"/>
          <w:szCs w:val="32"/>
        </w:rPr>
        <w:t>满意度指标完成情况分析</w:t>
      </w:r>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（1）满意度指标</w:t>
        <w:br/>
        <w:t>群众满意度：评价指标“培训对象满意度”，指标值：≥90%，实际完成值：≥90%。通过设置问卷调查的方式进行考评评价，共计调查样本总量为10个样本，有效调查问卷10份。其中，统计“参与人员”的平均值为90%。故满意度指标得分为100分。</w:t>
        <w:br/>
        <w:t>综上，该指标满分10分，得分10分。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项目预算执行率为100%，指标总体完成率为100%，二者之间的偏差值为0%，小于20%。因此，本项目较好地完成了年度总体目标，财政资金使用效益和效率较高。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 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</w:t>
        <w:br/>
        <w:t>2. 提高部门整体支出绩效目标设定的合理性。部门设定的绩效目标要与部门的职能有相关性，这样便于后续的评价部门的履职情况，同样能使得部门在运用预算资金的过程中能始终牢记部门职能，不偏离社会责任。把所有与财政支出相关的指标全部列入不现实，可以兼顾好重要性和综合性原则。对于整体工作的反映，尽量采用综合性指标；对于具体项目的反映，尽量采用有代表性的重要指标</w:t>
        <w:br/>
        <w:t>（二）存在的问题及原因分析</w:t>
        <w:br/>
        <w:t>1. 预算编制科学性的问题。首先预算编制之合理性相对不足，主要表现在预算调整数较大，年度目标与长期规划衔接的紧密程度需要增强</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iMzUxYmUwY2RlZWJhOTljN2MwZGNkZDNlOGU0ZWI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1FB153D"/>
    <w:rsid w:val="13BE561A"/>
    <w:rsid w:val="15392994"/>
    <w:rsid w:val="18FE139B"/>
    <w:rsid w:val="29E31222"/>
    <w:rsid w:val="2A891760"/>
    <w:rsid w:val="3029612C"/>
    <w:rsid w:val="32A221C5"/>
    <w:rsid w:val="33F20F2A"/>
    <w:rsid w:val="34C44675"/>
    <w:rsid w:val="3B5B5607"/>
    <w:rsid w:val="3CE21B3C"/>
    <w:rsid w:val="4D2606A1"/>
    <w:rsid w:val="51830480"/>
    <w:rsid w:val="53A616BE"/>
    <w:rsid w:val="54662BFB"/>
    <w:rsid w:val="5D5750B8"/>
    <w:rsid w:val="62051CA5"/>
    <w:rsid w:val="6BB1290D"/>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289</Words>
  <Characters>612</Characters>
  <Lines>5</Lines>
  <Paragraphs>1</Paragraphs>
  <TotalTime>14</TotalTime>
  <ScaleCrop>false</ScaleCrop>
  <LinksUpToDate>false</LinksUpToDate>
  <CharactersWithSpaces>626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cp:lastModifiedBy>
  <cp:lastPrinted>2018-12-31T10:56:00Z</cp:lastPrinted>
  <dcterms:modified xsi:type="dcterms:W3CDTF">2023-04-26T04:26:27Z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C734C92AAAF24344A0E4232D8EB3359B</vt:lpwstr>
  </property>
</Properties>
</file>