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endnotes.xml" ContentType="application/vnd.openxmlformats-officedocument.wordprocessingml.endnotes+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notes.xml" ContentType="application/vnd.openxmlformats-officedocument.wordprocessingml.foot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header5.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2C4245">
      <w:pPr>
        <w:spacing w:line="480" w:lineRule="auto"/>
        <w:ind w:firstLine="0" w:firstLineChars="0"/>
        <w:rPr>
          <w:rFonts w:ascii="Times New Roman" w:hAnsi="Times New Roman" w:eastAsia="黑体" w:cs="Times New Roman"/>
          <w:b/>
          <w:kern w:val="0"/>
          <w:sz w:val="50"/>
          <w:szCs w:val="50"/>
          <w:lang w:bidi="en-US"/>
        </w:rPr>
      </w:pPr>
    </w:p>
    <w:p w14:paraId="5B2C8606">
      <w:pPr>
        <w:spacing w:line="480" w:lineRule="auto"/>
        <w:ind w:firstLine="0" w:firstLineChars="0"/>
        <w:rPr>
          <w:rFonts w:ascii="Times New Roman" w:hAnsi="Times New Roman" w:eastAsia="黑体" w:cs="Times New Roman"/>
          <w:b/>
          <w:kern w:val="0"/>
          <w:sz w:val="50"/>
          <w:szCs w:val="50"/>
          <w:lang w:bidi="en-US"/>
        </w:rPr>
      </w:pPr>
    </w:p>
    <w:p w14:paraId="1FC18785">
      <w:pPr>
        <w:spacing w:line="480" w:lineRule="auto"/>
        <w:ind w:firstLine="0" w:firstLineChars="0"/>
        <w:jc w:val="center"/>
        <w:rPr>
          <w:rFonts w:ascii="Times New Roman" w:hAnsi="Times New Roman" w:eastAsia="黑体" w:cs="Times New Roman"/>
          <w:b/>
          <w:kern w:val="0"/>
          <w:sz w:val="50"/>
          <w:szCs w:val="50"/>
          <w:lang w:bidi="en-US"/>
        </w:rPr>
      </w:pPr>
    </w:p>
    <w:p w14:paraId="2449797D">
      <w:pPr>
        <w:spacing w:before="120" w:after="120" w:line="480" w:lineRule="auto"/>
        <w:ind w:firstLine="0" w:firstLineChars="0"/>
        <w:jc w:val="center"/>
        <w:rPr>
          <w:rFonts w:ascii="仿宋_GB2312" w:hAnsi="Arial"/>
          <w:b/>
          <w:sz w:val="44"/>
          <w:szCs w:val="44"/>
        </w:rPr>
      </w:pPr>
      <w:r>
        <w:rPr>
          <w:rFonts w:hint="eastAsia" w:ascii="仿宋_GB2312" w:hAnsi="Arial"/>
          <w:b/>
          <w:sz w:val="44"/>
          <w:szCs w:val="44"/>
        </w:rPr>
        <w:t>财政项目支出绩效评价报告</w:t>
      </w:r>
    </w:p>
    <w:p w14:paraId="32E8363E">
      <w:pPr>
        <w:spacing w:line="480" w:lineRule="auto"/>
        <w:ind w:firstLine="0" w:firstLineChars="0"/>
        <w:jc w:val="center"/>
        <w:rPr>
          <w:rFonts w:ascii="Times New Roman" w:hAnsi="Times New Roman" w:eastAsia="黑体" w:cs="Times New Roman"/>
          <w:b/>
          <w:kern w:val="0"/>
          <w:sz w:val="50"/>
          <w:szCs w:val="50"/>
          <w:lang w:bidi="en-US"/>
        </w:rPr>
      </w:pPr>
    </w:p>
    <w:p w14:paraId="3FCC785F">
      <w:pPr>
        <w:spacing w:line="480" w:lineRule="auto"/>
        <w:ind w:firstLine="0" w:firstLineChars="0"/>
        <w:jc w:val="center"/>
        <w:rPr>
          <w:rFonts w:ascii="Times New Roman" w:hAnsi="Times New Roman" w:eastAsia="黑体" w:cs="Times New Roman"/>
          <w:b/>
          <w:kern w:val="0"/>
          <w:sz w:val="50"/>
          <w:szCs w:val="50"/>
          <w:lang w:bidi="en-US"/>
        </w:rPr>
      </w:pPr>
    </w:p>
    <w:p w14:paraId="05D7EFD9">
      <w:pPr>
        <w:spacing w:line="480" w:lineRule="auto"/>
        <w:ind w:firstLine="0" w:firstLineChars="0"/>
        <w:jc w:val="center"/>
        <w:rPr>
          <w:rFonts w:ascii="Times New Roman" w:hAnsi="Times New Roman" w:eastAsia="黑体" w:cs="Times New Roman"/>
          <w:b/>
          <w:kern w:val="0"/>
          <w:sz w:val="50"/>
          <w:szCs w:val="50"/>
          <w:lang w:bidi="en-US"/>
        </w:rPr>
      </w:pPr>
    </w:p>
    <w:p w14:paraId="6617A4CD">
      <w:pPr>
        <w:spacing w:line="480" w:lineRule="auto"/>
        <w:ind w:firstLine="0" w:firstLineChars="0"/>
        <w:jc w:val="center"/>
        <w:rPr>
          <w:rFonts w:ascii="Times New Roman" w:hAnsi="Times New Roman" w:eastAsia="黑体" w:cs="Times New Roman"/>
          <w:b/>
          <w:kern w:val="0"/>
          <w:sz w:val="50"/>
          <w:szCs w:val="50"/>
          <w:lang w:bidi="en-US"/>
        </w:rPr>
      </w:pPr>
    </w:p>
    <w:p w14:paraId="6826B08B">
      <w:pPr>
        <w:spacing w:line="480" w:lineRule="auto"/>
        <w:ind w:firstLine="0" w:firstLineChars="0"/>
        <w:jc w:val="center"/>
        <w:rPr>
          <w:rFonts w:ascii="Times New Roman" w:hAnsi="Times New Roman" w:eastAsia="黑体" w:cs="Times New Roman"/>
          <w:b/>
          <w:kern w:val="0"/>
          <w:sz w:val="50"/>
          <w:szCs w:val="50"/>
          <w:lang w:bidi="en-US"/>
        </w:rPr>
      </w:pPr>
    </w:p>
    <w:p w14:paraId="4F3E20CE">
      <w:pPr>
        <w:spacing w:line="480" w:lineRule="auto"/>
        <w:ind w:firstLine="0" w:firstLineChars="0"/>
        <w:jc w:val="center"/>
        <w:rPr>
          <w:rFonts w:ascii="Times New Roman" w:hAnsi="Times New Roman" w:eastAsia="黑体" w:cs="Times New Roman"/>
          <w:b/>
          <w:kern w:val="0"/>
          <w:sz w:val="50"/>
          <w:szCs w:val="50"/>
          <w:lang w:bidi="en-US"/>
        </w:rPr>
      </w:pPr>
    </w:p>
    <w:p w14:paraId="3FADDF72">
      <w:pPr>
        <w:spacing w:line="480" w:lineRule="auto"/>
        <w:ind w:firstLine="0" w:firstLineChars="0"/>
        <w:jc w:val="center"/>
        <w:rPr>
          <w:rFonts w:ascii="仿宋_GB2312" w:hAnsi="Times New Roman" w:cs="Times New Roman"/>
          <w:kern w:val="0"/>
          <w:sz w:val="30"/>
          <w:szCs w:val="30"/>
          <w:lang w:bidi="en-US"/>
        </w:rPr>
      </w:pPr>
    </w:p>
    <w:p w14:paraId="58F377F8">
      <w:pPr>
        <w:spacing w:line="480" w:lineRule="auto"/>
        <w:ind w:firstLine="1280" w:firstLineChars="400"/>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项目名称：</w:t>
      </w:r>
      <w:r>
        <w:rPr>
          <w:rFonts w:hint="eastAsia" w:ascii="仿宋_GB2312" w:hAnsi="Times New Roman" w:cs="Times New Roman"/>
          <w:kern w:val="0"/>
          <w:sz w:val="32"/>
          <w:szCs w:val="32"/>
          <w:lang w:eastAsia="zh-CN" w:bidi="en-US"/>
        </w:rPr>
        <w:t>保安人员经费</w:t>
      </w:r>
      <w:r>
        <w:rPr>
          <w:rFonts w:ascii="仿宋_GB2312" w:hAnsi="Times New Roman" w:cs="Times New Roman"/>
          <w:kern w:val="0"/>
          <w:sz w:val="32"/>
          <w:szCs w:val="32"/>
          <w:lang w:bidi="en-US"/>
        </w:rPr>
        <w:t xml:space="preserve"> </w:t>
      </w:r>
    </w:p>
    <w:p w14:paraId="013F0219">
      <w:pPr>
        <w:spacing w:line="480" w:lineRule="auto"/>
        <w:ind w:left="2877" w:leftChars="456" w:hanging="1600" w:hangingChars="500"/>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项目单位：乌鲁木齐市博物馆( 乌鲁木齐市革命历史纪念地管理中心)</w:t>
      </w:r>
      <w:r>
        <w:rPr>
          <w:rFonts w:ascii="仿宋_GB2312" w:hAnsi="Times New Roman" w:cs="Times New Roman"/>
          <w:kern w:val="0"/>
          <w:sz w:val="32"/>
          <w:szCs w:val="32"/>
          <w:lang w:bidi="en-US"/>
        </w:rPr>
        <w:t xml:space="preserve"> </w:t>
      </w:r>
    </w:p>
    <w:p w14:paraId="69E15F70">
      <w:pPr>
        <w:spacing w:line="480" w:lineRule="auto"/>
        <w:ind w:left="2877" w:leftChars="456" w:hanging="1600" w:hangingChars="500"/>
        <w:jc w:val="left"/>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主管部门：乌鲁木齐市文化和旅游局（乌鲁木齐市文物局）</w:t>
      </w:r>
    </w:p>
    <w:p w14:paraId="4A7D7747">
      <w:pPr>
        <w:spacing w:line="480" w:lineRule="auto"/>
        <w:ind w:firstLine="1411" w:firstLineChars="441"/>
        <w:jc w:val="left"/>
        <w:rPr>
          <w:rFonts w:ascii="仿宋_GB2312" w:hAnsi="Times New Roman" w:cs="Times New Roman"/>
          <w:kern w:val="0"/>
          <w:sz w:val="32"/>
          <w:szCs w:val="32"/>
          <w:lang w:bidi="en-US"/>
        </w:rPr>
      </w:pPr>
    </w:p>
    <w:p w14:paraId="722FD521">
      <w:pPr>
        <w:spacing w:line="480" w:lineRule="auto"/>
        <w:ind w:firstLine="0" w:firstLineChars="0"/>
        <w:rPr>
          <w:rFonts w:ascii="黑体" w:hAnsi="Times New Roman" w:eastAsia="黑体" w:cs="Times New Roman"/>
          <w:b/>
          <w:kern w:val="0"/>
          <w:sz w:val="32"/>
          <w:szCs w:val="32"/>
          <w:lang w:bidi="en-US"/>
        </w:rPr>
      </w:pPr>
    </w:p>
    <w:p w14:paraId="6B1401DA">
      <w:pPr>
        <w:spacing w:line="480" w:lineRule="auto"/>
        <w:ind w:firstLine="0" w:firstLineChars="0"/>
        <w:rPr>
          <w:rFonts w:ascii="黑体" w:hAnsi="Times New Roman" w:eastAsia="黑体" w:cs="Times New Roman"/>
          <w:b/>
          <w:kern w:val="0"/>
          <w:sz w:val="32"/>
          <w:szCs w:val="32"/>
          <w:lang w:bidi="en-US"/>
        </w:rPr>
      </w:pPr>
    </w:p>
    <w:p w14:paraId="28F3650D">
      <w:pPr>
        <w:spacing w:line="480" w:lineRule="auto"/>
        <w:ind w:firstLine="0" w:firstLineChars="0"/>
        <w:jc w:val="center"/>
        <w:rPr>
          <w:rFonts w:ascii="仿宋_GB2312" w:hAnsi="Times New Roman" w:cs="Times New Roman"/>
          <w:kern w:val="0"/>
          <w:sz w:val="32"/>
          <w:szCs w:val="32"/>
          <w:lang w:bidi="en-US"/>
        </w:rPr>
      </w:pPr>
      <w:r>
        <w:rPr>
          <w:rFonts w:hint="eastAsia" w:ascii="仿宋_GB2312" w:hAnsi="Times New Roman" w:cs="Times New Roman"/>
          <w:kern w:val="0"/>
          <w:sz w:val="32"/>
          <w:szCs w:val="32"/>
          <w:lang w:bidi="en-US"/>
        </w:rPr>
        <w:t>2023年0</w:t>
      </w:r>
      <w:r>
        <w:rPr>
          <w:rFonts w:ascii="仿宋_GB2312" w:hAnsi="Times New Roman" w:cs="Times New Roman"/>
          <w:kern w:val="0"/>
          <w:sz w:val="32"/>
          <w:szCs w:val="32"/>
          <w:lang w:bidi="en-US"/>
        </w:rPr>
        <w:t>4</w:t>
      </w:r>
      <w:r>
        <w:rPr>
          <w:rFonts w:hint="eastAsia" w:ascii="仿宋_GB2312" w:hAnsi="Times New Roman" w:cs="Times New Roman"/>
          <w:kern w:val="0"/>
          <w:sz w:val="32"/>
          <w:szCs w:val="32"/>
          <w:lang w:bidi="en-US"/>
        </w:rPr>
        <w:t>月</w:t>
      </w:r>
    </w:p>
    <w:p w14:paraId="624B2F70">
      <w:pPr>
        <w:spacing w:line="480" w:lineRule="auto"/>
        <w:ind w:firstLine="0" w:firstLineChars="0"/>
        <w:jc w:val="center"/>
        <w:rPr>
          <w:rFonts w:ascii="仿宋_GB2312" w:hAnsi="Times New Roman" w:cs="Times New Roman"/>
          <w:kern w:val="0"/>
          <w:sz w:val="32"/>
          <w:szCs w:val="32"/>
          <w:lang w:bidi="en-US"/>
        </w:rPr>
      </w:pPr>
    </w:p>
    <w:p w14:paraId="03380C4A">
      <w:pPr>
        <w:tabs>
          <w:tab w:val="left" w:pos="3324"/>
        </w:tabs>
        <w:spacing w:line="480" w:lineRule="auto"/>
        <w:ind w:firstLine="0" w:firstLineChars="0"/>
        <w:rPr>
          <w:rFonts w:ascii="仿宋_GB2312" w:hAnsi="Times New Roman" w:cs="Times New Roman"/>
          <w:kern w:val="0"/>
          <w:sz w:val="32"/>
          <w:szCs w:val="32"/>
          <w:lang w:bidi="en-US"/>
        </w:rPr>
      </w:pPr>
      <w:r>
        <w:rPr>
          <w:rFonts w:ascii="仿宋_GB2312" w:hAnsi="Times New Roman" w:cs="Times New Roman"/>
          <w:kern w:val="0"/>
          <w:sz w:val="32"/>
          <w:szCs w:val="32"/>
          <w:lang w:bidi="en-US"/>
        </w:rPr>
        <w:tab/>
      </w:r>
    </w:p>
    <w:sdt>
      <w:sdtPr>
        <w:rPr>
          <w:rFonts w:ascii="Calibri" w:hAnsi="Calibri" w:eastAsia="仿宋_GB2312" w:cs="黑体"/>
          <w:color w:val="auto"/>
          <w:kern w:val="2"/>
          <w:sz w:val="28"/>
          <w:szCs w:val="22"/>
          <w:lang w:val="zh-CN"/>
        </w:rPr>
        <w:id w:val="-1822651860"/>
        <w:docPartObj>
          <w:docPartGallery w:val="Table of Contents"/>
          <w:docPartUnique/>
        </w:docPartObj>
      </w:sdtPr>
      <w:sdtEndPr>
        <w:rPr>
          <w:rFonts w:ascii="Calibri" w:hAnsi="Calibri" w:eastAsia="仿宋_GB2312" w:cs="黑体"/>
          <w:b/>
          <w:bCs/>
          <w:color w:val="auto"/>
          <w:kern w:val="2"/>
          <w:sz w:val="28"/>
          <w:szCs w:val="22"/>
          <w:lang w:val="zh-CN"/>
        </w:rPr>
      </w:sdtEndPr>
      <w:sdtContent>
        <w:p w14:paraId="594B6DA6">
          <w:pPr>
            <w:pStyle w:val="29"/>
            <w:ind w:firstLine="560"/>
            <w:jc w:val="center"/>
          </w:pPr>
          <w:r>
            <w:rPr>
              <w:lang w:val="zh-CN"/>
            </w:rPr>
            <w:t>目录</w:t>
          </w:r>
        </w:p>
        <w:p w14:paraId="3888B51F">
          <w:pPr>
            <w:pStyle w:val="11"/>
            <w:tabs>
              <w:tab w:val="right" w:leader="dot" w:pos="8296"/>
            </w:tabs>
            <w:ind w:firstLine="560"/>
            <w:rPr>
              <w:rFonts w:asciiTheme="minorHAnsi" w:hAnsiTheme="minorHAnsi" w:eastAsiaTheme="minorEastAsia" w:cstheme="minorBidi"/>
              <w:sz w:val="21"/>
            </w:rPr>
          </w:pPr>
          <w:r>
            <w:fldChar w:fldCharType="begin"/>
          </w:r>
          <w:r>
            <w:instrText xml:space="preserve"> TOC \o "1-3" \h \z \u </w:instrText>
          </w:r>
          <w:r>
            <w:fldChar w:fldCharType="separate"/>
          </w:r>
          <w:r>
            <w:fldChar w:fldCharType="begin"/>
          </w:r>
          <w:r>
            <w:instrText xml:space="preserve"> HYPERLINK \l "_Toc165277220" </w:instrText>
          </w:r>
          <w:r>
            <w:fldChar w:fldCharType="separate"/>
          </w:r>
          <w:r>
            <w:rPr>
              <w:rStyle w:val="18"/>
              <w:rFonts w:hint="eastAsia" w:ascii="仿宋" w:hAnsi="仿宋" w:eastAsia="仿宋"/>
              <w:lang w:bidi="en-US"/>
            </w:rPr>
            <w:t>一、基本情况</w:t>
          </w:r>
          <w:r>
            <w:tab/>
          </w:r>
          <w:r>
            <w:fldChar w:fldCharType="begin"/>
          </w:r>
          <w:r>
            <w:instrText xml:space="preserve"> PAGEREF _Toc165277220 \h </w:instrText>
          </w:r>
          <w:r>
            <w:fldChar w:fldCharType="separate"/>
          </w:r>
          <w:r>
            <w:t>1</w:t>
          </w:r>
          <w:r>
            <w:fldChar w:fldCharType="end"/>
          </w:r>
          <w:r>
            <w:fldChar w:fldCharType="end"/>
          </w:r>
        </w:p>
        <w:p w14:paraId="6F8515E7">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"_Toc165277221" </w:instrText>
          </w:r>
          <w:r>
            <w:fldChar w:fldCharType="separate"/>
          </w:r>
          <w:r>
            <w:rPr>
              <w:rStyle w:val="18"/>
              <w:rFonts w:hint="eastAsia" w:ascii="仿宋" w:hAnsi="仿宋" w:eastAsia="仿宋"/>
              <w:lang w:bidi="en-US"/>
            </w:rPr>
            <w:t>（一）项目概况：</w:t>
          </w:r>
          <w:r>
            <w:tab/>
          </w:r>
          <w:r>
            <w:fldChar w:fldCharType="begin"/>
          </w:r>
          <w:r>
            <w:instrText xml:space="preserve"> PAGEREF _Toc165277221 \h </w:instrText>
          </w:r>
          <w:r>
            <w:fldChar w:fldCharType="separate"/>
          </w:r>
          <w:r>
            <w:t>1</w:t>
          </w:r>
          <w:r>
            <w:fldChar w:fldCharType="end"/>
          </w:r>
          <w:r>
            <w:fldChar w:fldCharType="end"/>
          </w:r>
        </w:p>
        <w:p w14:paraId="3DB9C35D">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"_Toc165277222" </w:instrText>
          </w:r>
          <w:r>
            <w:fldChar w:fldCharType="separate"/>
          </w:r>
          <w:r>
            <w:rPr>
              <w:rStyle w:val="18"/>
            </w:rPr>
            <w:t>1</w:t>
          </w:r>
          <w:r>
            <w:rPr>
              <w:rStyle w:val="18"/>
              <w:rFonts w:hint="eastAsia"/>
            </w:rPr>
            <w:t>．项目背景、主要内容及实施情况</w:t>
          </w:r>
          <w:r>
            <w:tab/>
          </w:r>
          <w:r>
            <w:fldChar w:fldCharType="begin"/>
          </w:r>
          <w:r>
            <w:instrText xml:space="preserve"> PAGEREF _Toc165277222 \h </w:instrText>
          </w:r>
          <w:r>
            <w:fldChar w:fldCharType="separate"/>
          </w:r>
          <w:r>
            <w:t>1</w:t>
          </w:r>
          <w:r>
            <w:fldChar w:fldCharType="end"/>
          </w:r>
          <w:r>
            <w:fldChar w:fldCharType="end"/>
          </w:r>
        </w:p>
        <w:p w14:paraId="16E866F6">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"_Toc165277223" </w:instrText>
          </w:r>
          <w:r>
            <w:fldChar w:fldCharType="separate"/>
          </w:r>
          <w:r>
            <w:rPr>
              <w:rStyle w:val="18"/>
            </w:rPr>
            <w:t>2.</w:t>
          </w:r>
          <w:r>
            <w:rPr>
              <w:rStyle w:val="18"/>
              <w:rFonts w:hint="eastAsia"/>
            </w:rPr>
            <w:t>资金投入和使用情况</w:t>
          </w:r>
          <w:r>
            <w:tab/>
          </w:r>
          <w:r>
            <w:fldChar w:fldCharType="begin"/>
          </w:r>
          <w:r>
            <w:instrText xml:space="preserve"> PAGEREF _Toc165277223 \h </w:instrText>
          </w:r>
          <w:r>
            <w:fldChar w:fldCharType="separate"/>
          </w:r>
          <w:r>
            <w:t>1</w:t>
          </w:r>
          <w:r>
            <w:fldChar w:fldCharType="end"/>
          </w:r>
          <w:r>
            <w:fldChar w:fldCharType="end"/>
          </w:r>
        </w:p>
        <w:p w14:paraId="46B8E965">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"_Toc165277224" </w:instrText>
          </w:r>
          <w:r>
            <w:fldChar w:fldCharType="separate"/>
          </w:r>
          <w:r>
            <w:rPr>
              <w:rStyle w:val="18"/>
              <w:rFonts w:hint="eastAsia" w:ascii="仿宋" w:hAnsi="仿宋" w:eastAsia="仿宋"/>
              <w:lang w:bidi="en-US"/>
            </w:rPr>
            <w:t>（二）项目绩效目标：</w:t>
          </w:r>
          <w:r>
            <w:tab/>
          </w:r>
          <w:r>
            <w:fldChar w:fldCharType="begin"/>
          </w:r>
          <w:r>
            <w:instrText xml:space="preserve"> PAGEREF _Toc165277224 \h </w:instrText>
          </w:r>
          <w:r>
            <w:fldChar w:fldCharType="separate"/>
          </w:r>
          <w:r>
            <w:t>1</w:t>
          </w:r>
          <w:r>
            <w:fldChar w:fldCharType="end"/>
          </w:r>
          <w:r>
            <w:fldChar w:fldCharType="end"/>
          </w:r>
        </w:p>
        <w:p w14:paraId="65D9C410">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"_Toc165277225" </w:instrText>
          </w:r>
          <w:r>
            <w:fldChar w:fldCharType="separate"/>
          </w:r>
          <w:r>
            <w:rPr>
              <w:rStyle w:val="18"/>
              <w:rFonts w:hint="eastAsia" w:ascii="仿宋" w:hAnsi="仿宋" w:eastAsia="仿宋"/>
              <w:lang w:bidi="en-US"/>
            </w:rPr>
            <w:t>二、绩效评价工作开展情况</w:t>
          </w:r>
          <w:r>
            <w:tab/>
          </w:r>
          <w:r>
            <w:fldChar w:fldCharType="begin"/>
          </w:r>
          <w:r>
            <w:instrText xml:space="preserve"> PAGEREF _Toc165277225 \h </w:instrText>
          </w:r>
          <w:r>
            <w:fldChar w:fldCharType="separate"/>
          </w:r>
          <w:r>
            <w:t>2</w:t>
          </w:r>
          <w:r>
            <w:fldChar w:fldCharType="end"/>
          </w:r>
          <w:r>
            <w:fldChar w:fldCharType="end"/>
          </w:r>
        </w:p>
        <w:p w14:paraId="68EC29B7">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"_Toc165277226" </w:instrText>
          </w:r>
          <w:r>
            <w:fldChar w:fldCharType="separate"/>
          </w:r>
          <w:r>
            <w:rPr>
              <w:rStyle w:val="18"/>
              <w:rFonts w:hint="eastAsia" w:ascii="仿宋" w:hAnsi="仿宋" w:eastAsia="仿宋"/>
              <w:lang w:bidi="en-US"/>
            </w:rPr>
            <w:t>（一）绩效评价目的、对象和范围</w:t>
          </w:r>
          <w:r>
            <w:tab/>
          </w:r>
          <w:r>
            <w:fldChar w:fldCharType="begin"/>
          </w:r>
          <w:r>
            <w:instrText xml:space="preserve"> PAGEREF _Toc165277226 \h </w:instrText>
          </w:r>
          <w:r>
            <w:fldChar w:fldCharType="separate"/>
          </w:r>
          <w:r>
            <w:t>2</w:t>
          </w:r>
          <w:r>
            <w:fldChar w:fldCharType="end"/>
          </w:r>
          <w:r>
            <w:fldChar w:fldCharType="end"/>
          </w:r>
        </w:p>
        <w:p w14:paraId="34C6AA69">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"_Toc165277227" </w:instrText>
          </w:r>
          <w:r>
            <w:fldChar w:fldCharType="separate"/>
          </w:r>
          <w:r>
            <w:rPr>
              <w:rStyle w:val="18"/>
            </w:rPr>
            <w:t>1.</w:t>
          </w:r>
          <w:r>
            <w:rPr>
              <w:rStyle w:val="18"/>
              <w:rFonts w:hint="eastAsia"/>
            </w:rPr>
            <w:t>绩效评价完整性</w:t>
          </w:r>
          <w:r>
            <w:tab/>
          </w:r>
          <w:r>
            <w:fldChar w:fldCharType="begin"/>
          </w:r>
          <w:r>
            <w:instrText xml:space="preserve"> PAGEREF _Toc165277227 \h </w:instrText>
          </w:r>
          <w:r>
            <w:fldChar w:fldCharType="separate"/>
          </w:r>
          <w:r>
            <w:t>2</w:t>
          </w:r>
          <w:r>
            <w:fldChar w:fldCharType="end"/>
          </w:r>
          <w:r>
            <w:fldChar w:fldCharType="end"/>
          </w:r>
        </w:p>
        <w:p w14:paraId="0A7C8A00">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"_Toc165277228" </w:instrText>
          </w:r>
          <w:r>
            <w:fldChar w:fldCharType="separate"/>
          </w:r>
          <w:r>
            <w:rPr>
              <w:rStyle w:val="18"/>
            </w:rPr>
            <w:t>2.</w:t>
          </w:r>
          <w:r>
            <w:rPr>
              <w:rStyle w:val="18"/>
              <w:rFonts w:hint="eastAsia"/>
            </w:rPr>
            <w:t>评价目的</w:t>
          </w:r>
          <w:r>
            <w:tab/>
          </w:r>
          <w:r>
            <w:fldChar w:fldCharType="begin"/>
          </w:r>
          <w:r>
            <w:instrText xml:space="preserve"> PAGEREF _Toc165277228 \h </w:instrText>
          </w:r>
          <w:r>
            <w:fldChar w:fldCharType="separate"/>
          </w:r>
          <w:r>
            <w:t>3</w:t>
          </w:r>
          <w:r>
            <w:fldChar w:fldCharType="end"/>
          </w:r>
          <w:r>
            <w:fldChar w:fldCharType="end"/>
          </w:r>
        </w:p>
        <w:p w14:paraId="017942FE">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"_Toc165277229" </w:instrText>
          </w:r>
          <w:r>
            <w:fldChar w:fldCharType="separate"/>
          </w:r>
          <w:r>
            <w:rPr>
              <w:rStyle w:val="18"/>
            </w:rPr>
            <w:t>3.</w:t>
          </w:r>
          <w:r>
            <w:rPr>
              <w:rStyle w:val="18"/>
              <w:rFonts w:hint="eastAsia"/>
            </w:rPr>
            <w:t>评价对象</w:t>
          </w:r>
          <w:r>
            <w:tab/>
          </w:r>
          <w:r>
            <w:fldChar w:fldCharType="begin"/>
          </w:r>
          <w:r>
            <w:instrText xml:space="preserve"> PAGEREF _Toc165277229 \h </w:instrText>
          </w:r>
          <w:r>
            <w:fldChar w:fldCharType="separate"/>
          </w:r>
          <w:r>
            <w:t>3</w:t>
          </w:r>
          <w:r>
            <w:fldChar w:fldCharType="end"/>
          </w:r>
          <w:r>
            <w:fldChar w:fldCharType="end"/>
          </w:r>
        </w:p>
        <w:p w14:paraId="2CB8A134">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"_Toc165277230" </w:instrText>
          </w:r>
          <w:r>
            <w:fldChar w:fldCharType="separate"/>
          </w:r>
          <w:r>
            <w:rPr>
              <w:rStyle w:val="18"/>
            </w:rPr>
            <w:t>4.</w:t>
          </w:r>
          <w:r>
            <w:rPr>
              <w:rStyle w:val="18"/>
              <w:rFonts w:hint="eastAsia"/>
            </w:rPr>
            <w:t>绩效评价范围</w:t>
          </w:r>
          <w:r>
            <w:tab/>
          </w:r>
          <w:r>
            <w:fldChar w:fldCharType="begin"/>
          </w:r>
          <w:r>
            <w:instrText xml:space="preserve"> PAGEREF _Toc165277230 \h </w:instrText>
          </w:r>
          <w:r>
            <w:fldChar w:fldCharType="separate"/>
          </w:r>
          <w:r>
            <w:t>3</w:t>
          </w:r>
          <w:r>
            <w:fldChar w:fldCharType="end"/>
          </w:r>
          <w:r>
            <w:fldChar w:fldCharType="end"/>
          </w:r>
        </w:p>
        <w:p w14:paraId="1F1171A6">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"_Toc165277231" </w:instrText>
          </w:r>
          <w:r>
            <w:fldChar w:fldCharType="separate"/>
          </w:r>
          <w:r>
            <w:rPr>
              <w:rStyle w:val="18"/>
              <w:rFonts w:hint="eastAsia" w:ascii="仿宋" w:hAnsi="仿宋" w:eastAsia="仿宋"/>
              <w:lang w:bidi="en-US"/>
            </w:rPr>
            <w:t>（二）绩效评价原则、指标体系、方法及标准</w:t>
          </w:r>
          <w:r>
            <w:tab/>
          </w:r>
          <w:r>
            <w:fldChar w:fldCharType="begin"/>
          </w:r>
          <w:r>
            <w:instrText xml:space="preserve"> PAGEREF _Toc165277231 \h </w:instrText>
          </w:r>
          <w:r>
            <w:fldChar w:fldCharType="separate"/>
          </w:r>
          <w:r>
            <w:t>4</w:t>
          </w:r>
          <w:r>
            <w:fldChar w:fldCharType="end"/>
          </w:r>
          <w:r>
            <w:fldChar w:fldCharType="end"/>
          </w:r>
        </w:p>
        <w:p w14:paraId="732F692B">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"_Toc165277232" </w:instrText>
          </w:r>
          <w:r>
            <w:fldChar w:fldCharType="separate"/>
          </w:r>
          <w:r>
            <w:rPr>
              <w:rStyle w:val="18"/>
            </w:rPr>
            <w:t>1.</w:t>
          </w:r>
          <w:r>
            <w:rPr>
              <w:rStyle w:val="18"/>
              <w:rFonts w:hint="eastAsia"/>
            </w:rPr>
            <w:t>评价原则</w:t>
          </w:r>
          <w:r>
            <w:tab/>
          </w:r>
          <w:r>
            <w:fldChar w:fldCharType="begin"/>
          </w:r>
          <w:r>
            <w:instrText xml:space="preserve"> PAGEREF _Toc165277232 \h </w:instrText>
          </w:r>
          <w:r>
            <w:fldChar w:fldCharType="separate"/>
          </w:r>
          <w:r>
            <w:t>4</w:t>
          </w:r>
          <w:r>
            <w:fldChar w:fldCharType="end"/>
          </w:r>
          <w:r>
            <w:fldChar w:fldCharType="end"/>
          </w:r>
        </w:p>
        <w:p w14:paraId="5984B178">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"_Toc165277233" </w:instrText>
          </w:r>
          <w:r>
            <w:fldChar w:fldCharType="separate"/>
          </w:r>
          <w:r>
            <w:rPr>
              <w:rStyle w:val="18"/>
            </w:rPr>
            <w:t>2.</w:t>
          </w:r>
          <w:r>
            <w:rPr>
              <w:rStyle w:val="18"/>
              <w:rFonts w:hint="eastAsia"/>
            </w:rPr>
            <w:t>评价指标体系</w:t>
          </w:r>
          <w:r>
            <w:tab/>
          </w:r>
          <w:r>
            <w:fldChar w:fldCharType="begin"/>
          </w:r>
          <w:r>
            <w:instrText xml:space="preserve"> PAGEREF _Toc165277233 \h </w:instrText>
          </w:r>
          <w:r>
            <w:fldChar w:fldCharType="separate"/>
          </w:r>
          <w:r>
            <w:t>4</w:t>
          </w:r>
          <w:r>
            <w:fldChar w:fldCharType="end"/>
          </w:r>
          <w:r>
            <w:fldChar w:fldCharType="end"/>
          </w:r>
        </w:p>
        <w:p w14:paraId="440EEACB">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"_Toc165277234" </w:instrText>
          </w:r>
          <w:r>
            <w:fldChar w:fldCharType="separate"/>
          </w:r>
          <w:r>
            <w:rPr>
              <w:rStyle w:val="18"/>
            </w:rPr>
            <w:t>3.</w:t>
          </w:r>
          <w:r>
            <w:rPr>
              <w:rStyle w:val="18"/>
              <w:rFonts w:hint="eastAsia"/>
            </w:rPr>
            <w:t>评价方法</w:t>
          </w:r>
          <w:r>
            <w:tab/>
          </w:r>
          <w:r>
            <w:fldChar w:fldCharType="begin"/>
          </w:r>
          <w:r>
            <w:instrText xml:space="preserve"> PAGEREF _Toc165277234 \h </w:instrText>
          </w:r>
          <w:r>
            <w:fldChar w:fldCharType="separate"/>
          </w:r>
          <w:r>
            <w:t>12</w:t>
          </w:r>
          <w:r>
            <w:fldChar w:fldCharType="end"/>
          </w:r>
          <w:r>
            <w:fldChar w:fldCharType="end"/>
          </w:r>
        </w:p>
        <w:p w14:paraId="599090DB">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"_Toc165277235" </w:instrText>
          </w:r>
          <w:r>
            <w:fldChar w:fldCharType="separate"/>
          </w:r>
          <w:r>
            <w:rPr>
              <w:rStyle w:val="18"/>
            </w:rPr>
            <w:t>4.</w:t>
          </w:r>
          <w:r>
            <w:rPr>
              <w:rStyle w:val="18"/>
              <w:rFonts w:hint="eastAsia"/>
            </w:rPr>
            <w:t>评价标准</w:t>
          </w:r>
          <w:r>
            <w:tab/>
          </w:r>
          <w:r>
            <w:fldChar w:fldCharType="begin"/>
          </w:r>
          <w:r>
            <w:instrText xml:space="preserve"> PAGEREF _Toc165277235 \h </w:instrText>
          </w:r>
          <w:r>
            <w:fldChar w:fldCharType="separate"/>
          </w:r>
          <w:r>
            <w:t>13</w:t>
          </w:r>
          <w:r>
            <w:fldChar w:fldCharType="end"/>
          </w:r>
          <w:r>
            <w:fldChar w:fldCharType="end"/>
          </w:r>
        </w:p>
        <w:p w14:paraId="30553E59">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"_Toc165277236" </w:instrText>
          </w:r>
          <w:r>
            <w:fldChar w:fldCharType="separate"/>
          </w:r>
          <w:r>
            <w:rPr>
              <w:rStyle w:val="18"/>
              <w:rFonts w:hint="eastAsia" w:ascii="仿宋" w:hAnsi="仿宋" w:eastAsia="仿宋"/>
              <w:lang w:bidi="en-US"/>
            </w:rPr>
            <w:t>（三）绩效评价工作过程</w:t>
          </w:r>
          <w:r>
            <w:tab/>
          </w:r>
          <w:r>
            <w:fldChar w:fldCharType="begin"/>
          </w:r>
          <w:r>
            <w:instrText xml:space="preserve"> PAGEREF _Toc165277236 \h </w:instrText>
          </w:r>
          <w:r>
            <w:fldChar w:fldCharType="separate"/>
          </w:r>
          <w:r>
            <w:t>13</w:t>
          </w:r>
          <w:r>
            <w:fldChar w:fldCharType="end"/>
          </w:r>
          <w:r>
            <w:fldChar w:fldCharType="end"/>
          </w:r>
        </w:p>
        <w:p w14:paraId="2A91BA11">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"_Toc165277237" </w:instrText>
          </w:r>
          <w:r>
            <w:fldChar w:fldCharType="separate"/>
          </w:r>
          <w:r>
            <w:rPr>
              <w:rStyle w:val="18"/>
              <w:rFonts w:hint="eastAsia" w:ascii="仿宋" w:hAnsi="仿宋" w:eastAsia="仿宋"/>
              <w:lang w:bidi="en-US"/>
            </w:rPr>
            <w:t>三、综合评价情况及评价结论</w:t>
          </w:r>
          <w:r>
            <w:tab/>
          </w:r>
          <w:r>
            <w:fldChar w:fldCharType="begin"/>
          </w:r>
          <w:r>
            <w:instrText xml:space="preserve"> PAGEREF _Toc165277237 \h </w:instrText>
          </w:r>
          <w:r>
            <w:fldChar w:fldCharType="separate"/>
          </w:r>
          <w:r>
            <w:t>14</w:t>
          </w:r>
          <w:r>
            <w:fldChar w:fldCharType="end"/>
          </w:r>
          <w:r>
            <w:fldChar w:fldCharType="end"/>
          </w:r>
        </w:p>
        <w:p w14:paraId="29896B50">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"_Toc165277238" </w:instrText>
          </w:r>
          <w:r>
            <w:fldChar w:fldCharType="separate"/>
          </w:r>
          <w:r>
            <w:rPr>
              <w:rStyle w:val="18"/>
              <w:rFonts w:hint="eastAsia" w:ascii="仿宋" w:hAnsi="仿宋" w:eastAsia="仿宋"/>
              <w:lang w:bidi="en-US"/>
            </w:rPr>
            <w:t>（一）评价结论</w:t>
          </w:r>
          <w:r>
            <w:tab/>
          </w:r>
          <w:r>
            <w:fldChar w:fldCharType="begin"/>
          </w:r>
          <w:r>
            <w:instrText xml:space="preserve"> PAGEREF _Toc165277238 \h </w:instrText>
          </w:r>
          <w:r>
            <w:fldChar w:fldCharType="separate"/>
          </w:r>
          <w:r>
            <w:t>14</w:t>
          </w:r>
          <w:r>
            <w:fldChar w:fldCharType="end"/>
          </w:r>
          <w:r>
            <w:fldChar w:fldCharType="end"/>
          </w:r>
        </w:p>
        <w:p w14:paraId="090EF8AD">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"_Toc165277239" </w:instrText>
          </w:r>
          <w:r>
            <w:fldChar w:fldCharType="separate"/>
          </w:r>
          <w:r>
            <w:rPr>
              <w:rStyle w:val="18"/>
              <w:rFonts w:hint="eastAsia" w:ascii="仿宋" w:hAnsi="仿宋" w:eastAsia="仿宋"/>
              <w:lang w:bidi="en-US"/>
            </w:rPr>
            <w:t>（二）主要绩效</w:t>
          </w:r>
          <w:r>
            <w:tab/>
          </w:r>
          <w:r>
            <w:fldChar w:fldCharType="begin"/>
          </w:r>
          <w:r>
            <w:instrText xml:space="preserve"> PAGEREF _Toc165277239 \h </w:instrText>
          </w:r>
          <w:r>
            <w:fldChar w:fldCharType="separate"/>
          </w:r>
          <w:r>
            <w:t>15</w:t>
          </w:r>
          <w:r>
            <w:fldChar w:fldCharType="end"/>
          </w:r>
          <w:r>
            <w:fldChar w:fldCharType="end"/>
          </w:r>
        </w:p>
        <w:p w14:paraId="5FF18E1E">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"_Toc165277240" </w:instrText>
          </w:r>
          <w:r>
            <w:fldChar w:fldCharType="separate"/>
          </w:r>
          <w:r>
            <w:rPr>
              <w:rStyle w:val="18"/>
              <w:rFonts w:hint="eastAsia" w:ascii="仿宋" w:hAnsi="仿宋" w:eastAsia="仿宋"/>
              <w:lang w:bidi="en-US"/>
            </w:rPr>
            <w:t>四、绩效评价指标分析</w:t>
          </w:r>
          <w:r>
            <w:tab/>
          </w:r>
          <w:r>
            <w:fldChar w:fldCharType="begin"/>
          </w:r>
          <w:r>
            <w:instrText xml:space="preserve"> PAGEREF _Toc165277240 \h </w:instrText>
          </w:r>
          <w:r>
            <w:fldChar w:fldCharType="separate"/>
          </w:r>
          <w:r>
            <w:t>15</w:t>
          </w:r>
          <w:r>
            <w:fldChar w:fldCharType="end"/>
          </w:r>
          <w:r>
            <w:fldChar w:fldCharType="end"/>
          </w:r>
        </w:p>
        <w:p w14:paraId="29FD7615">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"_Toc165277241" </w:instrText>
          </w:r>
          <w:r>
            <w:fldChar w:fldCharType="separate"/>
          </w:r>
          <w:r>
            <w:rPr>
              <w:rStyle w:val="18"/>
              <w:rFonts w:hint="eastAsia" w:ascii="仿宋" w:hAnsi="仿宋" w:eastAsia="仿宋"/>
              <w:lang w:bidi="en-US"/>
            </w:rPr>
            <w:t>（一）项目决策情况</w:t>
          </w:r>
          <w:r>
            <w:tab/>
          </w:r>
          <w:r>
            <w:fldChar w:fldCharType="begin"/>
          </w:r>
          <w:r>
            <w:instrText xml:space="preserve"> PAGEREF _Toc165277241 \h </w:instrText>
          </w:r>
          <w:r>
            <w:fldChar w:fldCharType="separate"/>
          </w:r>
          <w:r>
            <w:t>15</w:t>
          </w:r>
          <w:r>
            <w:fldChar w:fldCharType="end"/>
          </w:r>
          <w:r>
            <w:fldChar w:fldCharType="end"/>
          </w:r>
        </w:p>
        <w:p w14:paraId="40BC1381">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"_Toc165277242" </w:instrText>
          </w:r>
          <w:r>
            <w:fldChar w:fldCharType="separate"/>
          </w:r>
          <w:r>
            <w:rPr>
              <w:rStyle w:val="18"/>
            </w:rPr>
            <w:t>1.</w:t>
          </w:r>
          <w:r>
            <w:rPr>
              <w:rStyle w:val="18"/>
              <w:rFonts w:hint="eastAsia"/>
            </w:rPr>
            <w:t>项目立项</w:t>
          </w:r>
          <w:r>
            <w:tab/>
          </w:r>
          <w:r>
            <w:fldChar w:fldCharType="begin"/>
          </w:r>
          <w:r>
            <w:instrText xml:space="preserve"> PAGEREF _Toc165277242 \h </w:instrText>
          </w:r>
          <w:r>
            <w:fldChar w:fldCharType="separate"/>
          </w:r>
          <w:r>
            <w:t>16</w:t>
          </w:r>
          <w:r>
            <w:fldChar w:fldCharType="end"/>
          </w:r>
          <w:r>
            <w:fldChar w:fldCharType="end"/>
          </w:r>
        </w:p>
        <w:p w14:paraId="341B4F23">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"_Toc165277243" </w:instrText>
          </w:r>
          <w:r>
            <w:fldChar w:fldCharType="separate"/>
          </w:r>
          <w:r>
            <w:rPr>
              <w:rStyle w:val="18"/>
            </w:rPr>
            <w:t>2.</w:t>
          </w:r>
          <w:r>
            <w:rPr>
              <w:rStyle w:val="18"/>
              <w:rFonts w:hint="eastAsia"/>
            </w:rPr>
            <w:t>绩效目标</w:t>
          </w:r>
          <w:r>
            <w:tab/>
          </w:r>
          <w:r>
            <w:fldChar w:fldCharType="begin"/>
          </w:r>
          <w:r>
            <w:instrText xml:space="preserve"> PAGEREF _Toc165277243 \h </w:instrText>
          </w:r>
          <w:r>
            <w:fldChar w:fldCharType="separate"/>
          </w:r>
          <w:r>
            <w:t>16</w:t>
          </w:r>
          <w:r>
            <w:fldChar w:fldCharType="end"/>
          </w:r>
          <w:r>
            <w:fldChar w:fldCharType="end"/>
          </w:r>
        </w:p>
        <w:p w14:paraId="7E353192">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"_Toc165277244" </w:instrText>
          </w:r>
          <w:r>
            <w:fldChar w:fldCharType="separate"/>
          </w:r>
          <w:r>
            <w:rPr>
              <w:rStyle w:val="18"/>
            </w:rPr>
            <w:t>3.</w:t>
          </w:r>
          <w:r>
            <w:rPr>
              <w:rStyle w:val="18"/>
              <w:rFonts w:hint="eastAsia"/>
            </w:rPr>
            <w:t>资金投入</w:t>
          </w:r>
          <w:r>
            <w:tab/>
          </w:r>
          <w:r>
            <w:fldChar w:fldCharType="begin"/>
          </w:r>
          <w:r>
            <w:instrText xml:space="preserve"> PAGEREF _Toc165277244 \h </w:instrText>
          </w:r>
          <w:r>
            <w:fldChar w:fldCharType="separate"/>
          </w:r>
          <w:r>
            <w:t>17</w:t>
          </w:r>
          <w:r>
            <w:fldChar w:fldCharType="end"/>
          </w:r>
          <w:r>
            <w:fldChar w:fldCharType="end"/>
          </w:r>
        </w:p>
        <w:p w14:paraId="5E77E71A">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"_Toc165277245" </w:instrText>
          </w:r>
          <w:r>
            <w:fldChar w:fldCharType="separate"/>
          </w:r>
          <w:r>
            <w:rPr>
              <w:rStyle w:val="18"/>
              <w:rFonts w:hint="eastAsia" w:ascii="仿宋" w:hAnsi="仿宋" w:eastAsia="仿宋"/>
              <w:lang w:bidi="en-US"/>
            </w:rPr>
            <w:t>（二）项目过程情况</w:t>
          </w:r>
          <w:r>
            <w:tab/>
          </w:r>
          <w:r>
            <w:fldChar w:fldCharType="begin"/>
          </w:r>
          <w:r>
            <w:instrText xml:space="preserve"> PAGEREF _Toc165277245 \h </w:instrText>
          </w:r>
          <w:r>
            <w:fldChar w:fldCharType="separate"/>
          </w:r>
          <w:r>
            <w:t>17</w:t>
          </w:r>
          <w:r>
            <w:fldChar w:fldCharType="end"/>
          </w:r>
          <w:r>
            <w:fldChar w:fldCharType="end"/>
          </w:r>
        </w:p>
        <w:p w14:paraId="709BBC60">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"_Toc165277246" </w:instrText>
          </w:r>
          <w:r>
            <w:fldChar w:fldCharType="separate"/>
          </w:r>
          <w:r>
            <w:rPr>
              <w:rStyle w:val="18"/>
            </w:rPr>
            <w:t>1.</w:t>
          </w:r>
          <w:r>
            <w:rPr>
              <w:rStyle w:val="18"/>
              <w:rFonts w:hint="eastAsia"/>
            </w:rPr>
            <w:t>资金管理</w:t>
          </w:r>
          <w:r>
            <w:tab/>
          </w:r>
          <w:r>
            <w:fldChar w:fldCharType="begin"/>
          </w:r>
          <w:r>
            <w:instrText xml:space="preserve"> PAGEREF _Toc165277246 \h </w:instrText>
          </w:r>
          <w:r>
            <w:fldChar w:fldCharType="separate"/>
          </w:r>
          <w:r>
            <w:t>17</w:t>
          </w:r>
          <w:r>
            <w:fldChar w:fldCharType="end"/>
          </w:r>
          <w:r>
            <w:fldChar w:fldCharType="end"/>
          </w:r>
        </w:p>
        <w:p w14:paraId="7C5F060E">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"_Toc165277247" </w:instrText>
          </w:r>
          <w:r>
            <w:fldChar w:fldCharType="separate"/>
          </w:r>
          <w:r>
            <w:rPr>
              <w:rStyle w:val="18"/>
            </w:rPr>
            <w:t>2.</w:t>
          </w:r>
          <w:r>
            <w:rPr>
              <w:rStyle w:val="18"/>
              <w:rFonts w:hint="eastAsia"/>
            </w:rPr>
            <w:t>组织实施</w:t>
          </w:r>
          <w:r>
            <w:tab/>
          </w:r>
          <w:r>
            <w:fldChar w:fldCharType="begin"/>
          </w:r>
          <w:r>
            <w:instrText xml:space="preserve"> PAGEREF _Toc165277247 \h </w:instrText>
          </w:r>
          <w:r>
            <w:fldChar w:fldCharType="separate"/>
          </w:r>
          <w:r>
            <w:t>18</w:t>
          </w:r>
          <w:r>
            <w:fldChar w:fldCharType="end"/>
          </w:r>
          <w:r>
            <w:fldChar w:fldCharType="end"/>
          </w:r>
        </w:p>
        <w:p w14:paraId="19A79593">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"_Toc165277248" </w:instrText>
          </w:r>
          <w:r>
            <w:fldChar w:fldCharType="separate"/>
          </w:r>
          <w:r>
            <w:rPr>
              <w:rStyle w:val="18"/>
              <w:rFonts w:hint="eastAsia" w:ascii="仿宋" w:hAnsi="仿宋" w:eastAsia="仿宋"/>
              <w:lang w:bidi="en-US"/>
            </w:rPr>
            <w:t>（三）项目产出情况</w:t>
          </w:r>
          <w:r>
            <w:tab/>
          </w:r>
          <w:r>
            <w:fldChar w:fldCharType="begin"/>
          </w:r>
          <w:r>
            <w:instrText xml:space="preserve"> PAGEREF _Toc165277248 \h </w:instrText>
          </w:r>
          <w:r>
            <w:fldChar w:fldCharType="separate"/>
          </w:r>
          <w:r>
            <w:t>18</w:t>
          </w:r>
          <w:r>
            <w:fldChar w:fldCharType="end"/>
          </w:r>
          <w:r>
            <w:fldChar w:fldCharType="end"/>
          </w:r>
        </w:p>
        <w:p w14:paraId="775C8CDC">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"_Toc165277249" </w:instrText>
          </w:r>
          <w:r>
            <w:fldChar w:fldCharType="separate"/>
          </w:r>
          <w:r>
            <w:rPr>
              <w:rStyle w:val="18"/>
            </w:rPr>
            <w:t>1.</w:t>
          </w:r>
          <w:r>
            <w:rPr>
              <w:rStyle w:val="18"/>
              <w:rFonts w:hint="eastAsia"/>
            </w:rPr>
            <w:t>产出数量</w:t>
          </w:r>
          <w:r>
            <w:tab/>
          </w:r>
          <w:r>
            <w:fldChar w:fldCharType="begin"/>
          </w:r>
          <w:r>
            <w:instrText xml:space="preserve"> PAGEREF _Toc165277249 \h </w:instrText>
          </w:r>
          <w:r>
            <w:fldChar w:fldCharType="separate"/>
          </w:r>
          <w:r>
            <w:t>18</w:t>
          </w:r>
          <w:r>
            <w:fldChar w:fldCharType="end"/>
          </w:r>
          <w:r>
            <w:fldChar w:fldCharType="end"/>
          </w:r>
        </w:p>
        <w:p w14:paraId="3A503499">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"_Toc165277250" </w:instrText>
          </w:r>
          <w:r>
            <w:fldChar w:fldCharType="separate"/>
          </w:r>
          <w:r>
            <w:rPr>
              <w:rStyle w:val="18"/>
            </w:rPr>
            <w:t>2.</w:t>
          </w:r>
          <w:r>
            <w:rPr>
              <w:rStyle w:val="18"/>
              <w:rFonts w:hint="eastAsia"/>
            </w:rPr>
            <w:t>产出质量</w:t>
          </w:r>
          <w:r>
            <w:tab/>
          </w:r>
          <w:r>
            <w:fldChar w:fldCharType="begin"/>
          </w:r>
          <w:r>
            <w:instrText xml:space="preserve"> PAGEREF _Toc165277250 \h </w:instrText>
          </w:r>
          <w:r>
            <w:fldChar w:fldCharType="separate"/>
          </w:r>
          <w:r>
            <w:t>19</w:t>
          </w:r>
          <w:r>
            <w:fldChar w:fldCharType="end"/>
          </w:r>
          <w:r>
            <w:fldChar w:fldCharType="end"/>
          </w:r>
        </w:p>
        <w:p w14:paraId="27987D07">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"_Toc165277251" </w:instrText>
          </w:r>
          <w:r>
            <w:fldChar w:fldCharType="separate"/>
          </w:r>
          <w:r>
            <w:rPr>
              <w:rStyle w:val="18"/>
            </w:rPr>
            <w:t>3.</w:t>
          </w:r>
          <w:r>
            <w:rPr>
              <w:rStyle w:val="18"/>
              <w:rFonts w:hint="eastAsia"/>
            </w:rPr>
            <w:t>产出时效</w:t>
          </w:r>
          <w:r>
            <w:tab/>
          </w:r>
          <w:r>
            <w:fldChar w:fldCharType="begin"/>
          </w:r>
          <w:r>
            <w:instrText xml:space="preserve"> PAGEREF _Toc165277251 \h </w:instrText>
          </w:r>
          <w:r>
            <w:fldChar w:fldCharType="separate"/>
          </w:r>
          <w:r>
            <w:t>19</w:t>
          </w:r>
          <w:r>
            <w:fldChar w:fldCharType="end"/>
          </w:r>
          <w:r>
            <w:fldChar w:fldCharType="end"/>
          </w:r>
        </w:p>
        <w:p w14:paraId="33F5F6CB">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"_Toc165277252" </w:instrText>
          </w:r>
          <w:r>
            <w:fldChar w:fldCharType="separate"/>
          </w:r>
          <w:r>
            <w:rPr>
              <w:rStyle w:val="18"/>
            </w:rPr>
            <w:t>4.</w:t>
          </w:r>
          <w:r>
            <w:rPr>
              <w:rStyle w:val="18"/>
              <w:rFonts w:hint="eastAsia"/>
            </w:rPr>
            <w:t>产出成本</w:t>
          </w:r>
          <w:r>
            <w:tab/>
          </w:r>
          <w:r>
            <w:fldChar w:fldCharType="begin"/>
          </w:r>
          <w:r>
            <w:instrText xml:space="preserve"> PAGEREF _Toc165277252 \h </w:instrText>
          </w:r>
          <w:r>
            <w:fldChar w:fldCharType="separate"/>
          </w:r>
          <w:r>
            <w:t>19</w:t>
          </w:r>
          <w:r>
            <w:fldChar w:fldCharType="end"/>
          </w:r>
          <w:r>
            <w:fldChar w:fldCharType="end"/>
          </w:r>
        </w:p>
        <w:p w14:paraId="6DC39901">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"_Toc165277253" </w:instrText>
          </w:r>
          <w:r>
            <w:fldChar w:fldCharType="separate"/>
          </w:r>
          <w:r>
            <w:rPr>
              <w:rStyle w:val="18"/>
              <w:rFonts w:hint="eastAsia" w:ascii="仿宋" w:hAnsi="仿宋" w:eastAsia="仿宋"/>
              <w:lang w:bidi="en-US"/>
            </w:rPr>
            <w:t>（四）项目效益情况</w:t>
          </w:r>
          <w:r>
            <w:tab/>
          </w:r>
          <w:r>
            <w:fldChar w:fldCharType="begin"/>
          </w:r>
          <w:r>
            <w:instrText xml:space="preserve"> PAGEREF _Toc165277253 \h </w:instrText>
          </w:r>
          <w:r>
            <w:fldChar w:fldCharType="separate"/>
          </w:r>
          <w:r>
            <w:t>19</w:t>
          </w:r>
          <w:r>
            <w:fldChar w:fldCharType="end"/>
          </w:r>
          <w:r>
            <w:fldChar w:fldCharType="end"/>
          </w:r>
        </w:p>
        <w:p w14:paraId="1AA736F7">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"_Toc165277254" </w:instrText>
          </w:r>
          <w:r>
            <w:fldChar w:fldCharType="separate"/>
          </w:r>
          <w:r>
            <w:rPr>
              <w:rStyle w:val="18"/>
            </w:rPr>
            <w:t>1.</w:t>
          </w:r>
          <w:r>
            <w:rPr>
              <w:rStyle w:val="18"/>
              <w:rFonts w:hint="eastAsia"/>
            </w:rPr>
            <w:t>项目效益</w:t>
          </w:r>
          <w:r>
            <w:tab/>
          </w:r>
          <w:r>
            <w:fldChar w:fldCharType="begin"/>
          </w:r>
          <w:r>
            <w:instrText xml:space="preserve"> PAGEREF _Toc165277254 \h </w:instrText>
          </w:r>
          <w:r>
            <w:fldChar w:fldCharType="separate"/>
          </w:r>
          <w:r>
            <w:t>19</w:t>
          </w:r>
          <w:r>
            <w:fldChar w:fldCharType="end"/>
          </w:r>
          <w:r>
            <w:fldChar w:fldCharType="end"/>
          </w:r>
        </w:p>
        <w:p w14:paraId="20DC060C">
          <w:pPr>
            <w:pStyle w:val="6"/>
            <w:tabs>
              <w:tab w:val="right" w:leader="dot" w:pos="8296"/>
            </w:tabs>
            <w:ind w:left="1120" w:firstLine="560"/>
            <w:rPr>
              <w:rFonts w:asciiTheme="minorHAnsi" w:hAnsiTheme="minorHAnsi" w:eastAsiaTheme="minorEastAsia" w:cstheme="minorBidi"/>
              <w:sz w:val="21"/>
            </w:rPr>
          </w:pPr>
          <w:r>
            <w:fldChar w:fldCharType="begin"/>
          </w:r>
          <w:r>
            <w:instrText xml:space="preserve"> HYPERLINK \l "_Toc165277255" </w:instrText>
          </w:r>
          <w:r>
            <w:fldChar w:fldCharType="separate"/>
          </w:r>
          <w:r>
            <w:rPr>
              <w:rStyle w:val="18"/>
            </w:rPr>
            <w:t xml:space="preserve">2. </w:t>
          </w:r>
          <w:r>
            <w:rPr>
              <w:rStyle w:val="18"/>
              <w:rFonts w:hint="eastAsia"/>
            </w:rPr>
            <w:t>满意度指标完成情况分析</w:t>
          </w:r>
          <w:r>
            <w:tab/>
          </w:r>
          <w:r>
            <w:fldChar w:fldCharType="begin"/>
          </w:r>
          <w:r>
            <w:instrText xml:space="preserve"> PAGEREF _Toc165277255 \h </w:instrText>
          </w:r>
          <w:r>
            <w:fldChar w:fldCharType="separate"/>
          </w:r>
          <w:r>
            <w:t>20</w:t>
          </w:r>
          <w:r>
            <w:fldChar w:fldCharType="end"/>
          </w:r>
          <w:r>
            <w:fldChar w:fldCharType="end"/>
          </w:r>
        </w:p>
        <w:p w14:paraId="55977827">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"_Toc165277256" </w:instrText>
          </w:r>
          <w:r>
            <w:fldChar w:fldCharType="separate"/>
          </w:r>
          <w:r>
            <w:rPr>
              <w:rStyle w:val="18"/>
              <w:rFonts w:hint="eastAsia" w:ascii="仿宋" w:hAnsi="仿宋" w:eastAsia="仿宋"/>
              <w:lang w:bidi="en-US"/>
            </w:rPr>
            <w:t>五、主要经验及做法、存在的问题及原因分析</w:t>
          </w:r>
          <w:r>
            <w:tab/>
          </w:r>
          <w:r>
            <w:fldChar w:fldCharType="begin"/>
          </w:r>
          <w:r>
            <w:instrText xml:space="preserve"> PAGEREF _Toc165277256 \h </w:instrText>
          </w:r>
          <w:r>
            <w:fldChar w:fldCharType="separate"/>
          </w:r>
          <w:r>
            <w:t>20</w:t>
          </w:r>
          <w:r>
            <w:fldChar w:fldCharType="end"/>
          </w:r>
          <w:r>
            <w:fldChar w:fldCharType="end"/>
          </w:r>
        </w:p>
        <w:p w14:paraId="4B9429A0">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"_Toc165277257" </w:instrText>
          </w:r>
          <w:r>
            <w:fldChar w:fldCharType="separate"/>
          </w:r>
          <w:r>
            <w:rPr>
              <w:rStyle w:val="18"/>
              <w:rFonts w:hint="eastAsia" w:ascii="仿宋" w:hAnsi="仿宋" w:eastAsia="仿宋"/>
              <w:lang w:bidi="en-US"/>
            </w:rPr>
            <w:t>（一）主要经验及做法</w:t>
          </w:r>
          <w:r>
            <w:tab/>
          </w:r>
          <w:r>
            <w:fldChar w:fldCharType="begin"/>
          </w:r>
          <w:r>
            <w:instrText xml:space="preserve"> PAGEREF _Toc165277257 \h </w:instrText>
          </w:r>
          <w:r>
            <w:fldChar w:fldCharType="separate"/>
          </w:r>
          <w:r>
            <w:t>20</w:t>
          </w:r>
          <w:r>
            <w:fldChar w:fldCharType="end"/>
          </w:r>
          <w:r>
            <w:fldChar w:fldCharType="end"/>
          </w:r>
        </w:p>
        <w:p w14:paraId="3DEDD532">
          <w:pPr>
            <w:pStyle w:val="13"/>
            <w:tabs>
              <w:tab w:val="right" w:leader="dot" w:pos="8296"/>
            </w:tabs>
            <w:ind w:left="560" w:firstLine="560"/>
            <w:rPr>
              <w:rFonts w:asciiTheme="minorHAnsi" w:hAnsiTheme="minorHAnsi" w:eastAsiaTheme="minorEastAsia" w:cstheme="minorBidi"/>
              <w:sz w:val="21"/>
            </w:rPr>
          </w:pPr>
          <w:r>
            <w:fldChar w:fldCharType="begin"/>
          </w:r>
          <w:r>
            <w:instrText xml:space="preserve"> HYPERLINK \l "_Toc165277258" </w:instrText>
          </w:r>
          <w:r>
            <w:fldChar w:fldCharType="separate"/>
          </w:r>
          <w:r>
            <w:rPr>
              <w:rStyle w:val="18"/>
              <w:rFonts w:hint="eastAsia" w:ascii="仿宋" w:hAnsi="仿宋" w:eastAsia="仿宋"/>
              <w:lang w:bidi="en-US"/>
            </w:rPr>
            <w:t>（二）存在的问题及原因分析</w:t>
          </w:r>
          <w:r>
            <w:tab/>
          </w:r>
          <w:r>
            <w:fldChar w:fldCharType="begin"/>
          </w:r>
          <w:r>
            <w:instrText xml:space="preserve"> PAGEREF _Toc165277258 \h </w:instrText>
          </w:r>
          <w:r>
            <w:fldChar w:fldCharType="separate"/>
          </w:r>
          <w:r>
            <w:t>20</w:t>
          </w:r>
          <w:r>
            <w:fldChar w:fldCharType="end"/>
          </w:r>
          <w:r>
            <w:fldChar w:fldCharType="end"/>
          </w:r>
        </w:p>
        <w:p w14:paraId="2B19F2E1">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"_Toc165277259" </w:instrText>
          </w:r>
          <w:r>
            <w:fldChar w:fldCharType="separate"/>
          </w:r>
          <w:r>
            <w:rPr>
              <w:rStyle w:val="18"/>
              <w:rFonts w:hint="eastAsia" w:ascii="仿宋" w:hAnsi="仿宋" w:eastAsia="仿宋"/>
              <w:lang w:bidi="en-US"/>
            </w:rPr>
            <w:t>六、有关建议</w:t>
          </w:r>
          <w:r>
            <w:tab/>
          </w:r>
          <w:r>
            <w:fldChar w:fldCharType="begin"/>
          </w:r>
          <w:r>
            <w:instrText xml:space="preserve"> PAGEREF _Toc165277259 \h </w:instrText>
          </w:r>
          <w:r>
            <w:fldChar w:fldCharType="separate"/>
          </w:r>
          <w:r>
            <w:t>21</w:t>
          </w:r>
          <w:r>
            <w:fldChar w:fldCharType="end"/>
          </w:r>
          <w:r>
            <w:fldChar w:fldCharType="end"/>
          </w:r>
        </w:p>
        <w:p w14:paraId="7EB4FD75">
          <w:pPr>
            <w:pStyle w:val="11"/>
            <w:tabs>
              <w:tab w:val="right" w:leader="dot" w:pos="8296"/>
            </w:tabs>
            <w:ind w:firstLine="560"/>
            <w:rPr>
              <w:rFonts w:asciiTheme="minorHAnsi" w:hAnsiTheme="minorHAnsi" w:eastAsiaTheme="minorEastAsia" w:cstheme="minorBidi"/>
              <w:sz w:val="21"/>
            </w:rPr>
          </w:pPr>
          <w:r>
            <w:fldChar w:fldCharType="begin"/>
          </w:r>
          <w:r>
            <w:instrText xml:space="preserve"> HYPERLINK \l "_Toc165277260" </w:instrText>
          </w:r>
          <w:r>
            <w:fldChar w:fldCharType="separate"/>
          </w:r>
          <w:r>
            <w:rPr>
              <w:rStyle w:val="18"/>
              <w:rFonts w:hint="eastAsia" w:ascii="仿宋" w:hAnsi="仿宋" w:eastAsia="仿宋"/>
              <w:lang w:bidi="en-US"/>
            </w:rPr>
            <w:t>七、其他需要说明的问题</w:t>
          </w:r>
          <w:r>
            <w:tab/>
          </w:r>
          <w:r>
            <w:fldChar w:fldCharType="begin"/>
          </w:r>
          <w:r>
            <w:instrText xml:space="preserve"> PAGEREF _Toc165277260 \h </w:instrText>
          </w:r>
          <w:r>
            <w:fldChar w:fldCharType="separate"/>
          </w:r>
          <w:r>
            <w:t>21</w:t>
          </w:r>
          <w:r>
            <w:fldChar w:fldCharType="end"/>
          </w:r>
          <w:r>
            <w:fldChar w:fldCharType="end"/>
          </w:r>
        </w:p>
        <w:p w14:paraId="3902C822">
          <w:pPr>
            <w:ind w:firstLine="562"/>
          </w:pPr>
          <w:r>
            <w:rPr>
              <w:b/>
              <w:bCs/>
              <w:lang w:val="zh-CN"/>
            </w:rPr>
            <w:fldChar w:fldCharType="end"/>
          </w:r>
        </w:p>
      </w:sdtContent>
    </w:sdt>
    <w:p w14:paraId="3B84050F">
      <w:pPr>
        <w:ind w:firstLine="598" w:firstLineChars="187"/>
        <w:rPr>
          <w:rFonts w:ascii="仿宋_GB2312" w:hAnsi="Times New Roman" w:cs="Times New Roman"/>
          <w:sz w:val="32"/>
          <w:szCs w:val="32"/>
          <w:lang w:bidi="en-US"/>
        </w:rPr>
        <w:sectPr>
          <w:headerReference r:id="rId7" w:type="first"/>
          <w:footerReference r:id="rId10" w:type="first"/>
          <w:headerReference r:id="rId5" w:type="default"/>
          <w:footerReference r:id="rId8" w:type="default"/>
          <w:headerReference r:id="rId6" w:type="even"/>
          <w:footerReference r:id="rId9" w:type="even"/>
          <w:pgSz w:w="11906" w:h="16838"/>
          <w:pgMar w:top="1440" w:right="1800" w:bottom="1440" w:left="1800" w:header="851" w:footer="992" w:gutter="0"/>
          <w:cols w:space="425" w:num="1"/>
          <w:docGrid w:type="lines" w:linePitch="312" w:charSpace="0"/>
        </w:sectPr>
      </w:pPr>
    </w:p>
    <w:p w14:paraId="5EDE2E68">
      <w:pPr>
        <w:pStyle w:val="2"/>
        <w:ind w:firstLine="0" w:firstLineChars="0"/>
        <w:jc w:val="left"/>
        <w:rPr>
          <w:rFonts w:ascii="仿宋" w:hAnsi="仿宋" w:eastAsia="仿宋"/>
          <w:sz w:val="36"/>
          <w:szCs w:val="36"/>
          <w:lang w:bidi="en-US"/>
        </w:rPr>
      </w:pPr>
      <w:bookmarkStart w:id="0" w:name="_Toc165277220"/>
      <w:bookmarkStart w:id="1" w:name="_Toc67911601"/>
      <w:r>
        <w:rPr>
          <w:rFonts w:hint="eastAsia" w:ascii="仿宋" w:hAnsi="仿宋" w:eastAsia="仿宋"/>
          <w:sz w:val="36"/>
          <w:szCs w:val="36"/>
          <w:lang w:bidi="en-US"/>
        </w:rPr>
        <w:t>一、基本情况</w:t>
      </w:r>
      <w:bookmarkEnd w:id="0"/>
      <w:bookmarkEnd w:id="1"/>
    </w:p>
    <w:p w14:paraId="151E52E3">
      <w:pPr>
        <w:pStyle w:val="3"/>
        <w:ind w:firstLine="643"/>
        <w:rPr>
          <w:rFonts w:hint="default" w:ascii="仿宋_GB2312" w:hAnsi="仿宋"/>
          <w:szCs w:val="28"/>
          <w:lang w:val="en-US" w:eastAsia="zh-CN"/>
        </w:rPr>
      </w:pPr>
      <w:bookmarkStart w:id="2" w:name="_Toc67911602"/>
      <w:bookmarkStart w:id="3" w:name="_Toc165277221"/>
      <w:r>
        <w:rPr>
          <w:rFonts w:hint="eastAsia" w:ascii="仿宋" w:hAnsi="仿宋" w:eastAsia="仿宋"/>
          <w:lang w:bidi="en-US"/>
        </w:rPr>
        <w:t>（一）项目概况：</w:t>
      </w:r>
      <w:bookmarkEnd w:id="2"/>
      <w:bookmarkEnd w:id="3"/>
    </w:p>
    <w:p w14:paraId="4B16EC3C">
      <w:pPr>
        <w:pStyle w:val="4"/>
        <w:ind w:firstLine="643"/>
      </w:pPr>
      <w:bookmarkStart w:id="4" w:name="_Toc165277222"/>
      <w:r>
        <w:rPr>
          <w:rFonts w:hint="eastAsia"/>
        </w:rPr>
        <w:t>1．项目背景、主要内容及实施情况</w:t>
      </w:r>
      <w:bookmarkEnd w:id="4"/>
    </w:p>
    <w:p w14:paraId="1CC9E504">
      <w:pPr>
        <w:spacing w:line="360" w:lineRule="auto"/>
        <w:ind w:firstLine="560"/>
        <w:rPr>
          <w:rFonts w:hint="eastAsia" w:ascii="仿宋_GB2312"/>
        </w:rPr>
      </w:pPr>
      <w:r>
        <w:rPr>
          <w:rFonts w:hint="eastAsia" w:ascii="仿宋_GB2312"/>
        </w:rPr>
        <w:t>该项目实施背景：</w:t>
      </w:r>
    </w:p>
    <w:p w14:paraId="022BB5B0">
      <w:pPr>
        <w:spacing w:line="360" w:lineRule="auto"/>
        <w:ind w:firstLine="560"/>
        <w:rPr>
          <w:rFonts w:hint="eastAsia" w:ascii="仿宋_GB2312"/>
        </w:rPr>
      </w:pPr>
      <w:r>
        <w:rPr>
          <w:rFonts w:hint="eastAsia" w:ascii="仿宋_GB2312"/>
        </w:rPr>
        <w:t>乌鲁木齐市博物馆（乌鲁木齐市革命历史纪念地管理中心）位于胜利路392号，是隶属于乌鲁木齐市文化和旅游局（乌鲁木齐市文物局）管理的事业单位。主要职能：负责文物的征集、整理、陈列、展览、科学研究以及革命历史纪念地的管理、维护工作，开展历史文化、爱国主义和革命传统教育。目前，管理和保护八路军驻新疆办事处纪念馆、中国工农红军西路军总支队纪念馆、毛泽民故居、乌鲁木齐市博物馆、文庙、文昌阁等革命遗址和文博场馆。</w:t>
      </w:r>
    </w:p>
    <w:p w14:paraId="67145789">
      <w:pPr>
        <w:spacing w:line="360" w:lineRule="auto"/>
        <w:ind w:firstLine="560"/>
        <w:rPr>
          <w:rFonts w:hint="eastAsia" w:ascii="仿宋_GB2312"/>
        </w:rPr>
      </w:pPr>
      <w:r>
        <w:rPr>
          <w:rFonts w:hint="eastAsia" w:ascii="仿宋_GB2312"/>
        </w:rPr>
        <w:t>根据乌鲁木齐市博物馆（乌鲁木齐市革命历史纪念地管理中心）工作职能及工作需要，同时按照《文化行业人员密集场所安全防范规范手册》要求，我单位申请保安人员经费项目。通过实施该项目，做好公共文化对外服务场所安全防范工作，确保文物自身安全。</w:t>
      </w:r>
    </w:p>
    <w:p w14:paraId="2EB7BE27">
      <w:pPr>
        <w:spacing w:line="360" w:lineRule="auto"/>
        <w:ind w:firstLine="560"/>
        <w:rPr>
          <w:rFonts w:ascii="仿宋_GB2312"/>
        </w:rPr>
      </w:pPr>
      <w:r>
        <w:rPr>
          <w:rFonts w:ascii="仿宋_GB2312"/>
        </w:rPr>
        <w:t>项目</w:t>
      </w:r>
      <w:r>
        <w:rPr>
          <w:rFonts w:hint="eastAsia" w:ascii="仿宋_GB2312"/>
        </w:rPr>
        <w:t>2</w:t>
      </w:r>
      <w:r>
        <w:rPr>
          <w:rFonts w:ascii="仿宋_GB2312"/>
        </w:rPr>
        <w:t>023年的主要实施内容：</w:t>
      </w:r>
    </w:p>
    <w:p w14:paraId="3F69A114">
      <w:pPr>
        <w:spacing w:line="360" w:lineRule="auto"/>
        <w:ind w:firstLine="560"/>
        <w:rPr>
          <w:rFonts w:hint="default" w:ascii="Calibri" w:hAnsi="Calibri" w:eastAsia="仿宋_GB2312" w:cs="Calibri"/>
          <w:lang w:eastAsia="zh-CN"/>
        </w:rPr>
      </w:pPr>
      <w:r>
        <w:rPr>
          <w:rFonts w:ascii="仿宋_GB2312"/>
        </w:rPr>
        <w:t>①</w:t>
      </w:r>
      <w:r>
        <w:rPr>
          <w:rFonts w:hint="eastAsia" w:ascii="仿宋_GB2312"/>
          <w:lang w:eastAsia="zh-CN"/>
        </w:rPr>
        <w:t>聘用保安岗位数</w:t>
      </w:r>
      <w:r>
        <w:rPr>
          <w:rFonts w:hint="eastAsia" w:ascii="仿宋_GB2312"/>
          <w:lang w:val="en-US" w:eastAsia="zh-CN"/>
        </w:rPr>
        <w:t>34岗</w:t>
      </w:r>
      <w:r>
        <w:rPr>
          <w:rFonts w:ascii="仿宋_GB2312"/>
        </w:rPr>
        <w:t>;②</w:t>
      </w:r>
      <w:r>
        <w:rPr>
          <w:rFonts w:hint="eastAsia" w:ascii="仿宋_GB2312"/>
          <w:lang w:eastAsia="zh-CN"/>
        </w:rPr>
        <w:t>每年安保培训、演练次数大于等于</w:t>
      </w:r>
      <w:r>
        <w:rPr>
          <w:rFonts w:hint="eastAsia" w:ascii="仿宋_GB2312"/>
          <w:lang w:val="en-US" w:eastAsia="zh-CN"/>
        </w:rPr>
        <w:t>10次</w:t>
      </w:r>
      <w:r>
        <w:rPr>
          <w:rFonts w:ascii="仿宋_GB2312"/>
        </w:rPr>
        <w:t>;</w:t>
      </w:r>
      <w:r>
        <w:rPr>
          <w:rFonts w:hint="default" w:ascii="Calibri" w:hAnsi="Calibri" w:cs="Calibri"/>
        </w:rPr>
        <w:t>③</w:t>
      </w:r>
      <w:r>
        <w:rPr>
          <w:rFonts w:hint="eastAsia" w:cs="Calibri"/>
          <w:lang w:eastAsia="zh-CN"/>
        </w:rPr>
        <w:t>全年完成工作时间</w:t>
      </w:r>
      <w:r>
        <w:rPr>
          <w:rFonts w:hint="eastAsia" w:cs="Calibri"/>
          <w:lang w:val="en-US" w:eastAsia="zh-CN"/>
        </w:rPr>
        <w:t>365天</w:t>
      </w:r>
      <w:r>
        <w:rPr>
          <w:rFonts w:ascii="仿宋_GB2312"/>
        </w:rPr>
        <w:t>;</w:t>
      </w:r>
      <w:r>
        <w:rPr>
          <w:rFonts w:hint="default" w:ascii="Calibri" w:hAnsi="Calibri" w:cs="Calibri"/>
        </w:rPr>
        <w:t>④</w:t>
      </w:r>
      <w:r>
        <w:rPr>
          <w:rFonts w:hint="eastAsia" w:cs="Calibri"/>
          <w:lang w:eastAsia="zh-CN"/>
        </w:rPr>
        <w:t>安保人员持证上岗率大于等于</w:t>
      </w:r>
      <w:r>
        <w:rPr>
          <w:rFonts w:hint="eastAsia" w:cs="Calibri"/>
          <w:lang w:val="en-US" w:eastAsia="zh-CN"/>
        </w:rPr>
        <w:t>90%</w:t>
      </w:r>
      <w:r>
        <w:rPr>
          <w:rFonts w:ascii="仿宋_GB2312"/>
        </w:rPr>
        <w:t>;</w:t>
      </w:r>
      <w:r>
        <w:rPr>
          <w:rFonts w:hint="default" w:ascii="Calibri" w:hAnsi="Calibri" w:cs="Calibri"/>
        </w:rPr>
        <w:t>⑤</w:t>
      </w:r>
      <w:r>
        <w:rPr>
          <w:rFonts w:hint="eastAsia" w:cs="Calibri"/>
          <w:lang w:eastAsia="zh-CN"/>
        </w:rPr>
        <w:t>培训演练合格率大于等于</w:t>
      </w:r>
      <w:r>
        <w:rPr>
          <w:rFonts w:hint="eastAsia" w:cs="Calibri"/>
          <w:lang w:val="en-US" w:eastAsia="zh-CN"/>
        </w:rPr>
        <w:t>90%</w:t>
      </w:r>
      <w:r>
        <w:rPr>
          <w:rFonts w:ascii="仿宋_GB2312"/>
        </w:rPr>
        <w:t>;</w:t>
      </w:r>
      <w:r>
        <w:rPr>
          <w:rFonts w:hint="default" w:ascii="Calibri" w:hAnsi="Calibri" w:cs="Calibri"/>
        </w:rPr>
        <w:t>⑥</w:t>
      </w:r>
      <w:r>
        <w:rPr>
          <w:rFonts w:hint="eastAsia" w:cs="Calibri"/>
          <w:lang w:eastAsia="zh-CN"/>
        </w:rPr>
        <w:t>全年安全事故发生数</w:t>
      </w:r>
      <w:r>
        <w:rPr>
          <w:rFonts w:hint="eastAsia" w:cs="Calibri"/>
          <w:lang w:val="en-US" w:eastAsia="zh-CN"/>
        </w:rPr>
        <w:t>0起</w:t>
      </w:r>
      <w:r>
        <w:rPr>
          <w:rFonts w:ascii="仿宋_GB2312"/>
        </w:rPr>
        <w:t>;</w:t>
      </w:r>
      <w:r>
        <w:rPr>
          <w:rFonts w:hint="default" w:ascii="Calibri" w:hAnsi="Calibri" w:cs="Calibri"/>
        </w:rPr>
        <w:t>⑦</w:t>
      </w:r>
      <w:r>
        <w:rPr>
          <w:rFonts w:hint="eastAsia" w:cs="Calibri"/>
          <w:lang w:eastAsia="zh-CN"/>
        </w:rPr>
        <w:t>工作人员出勤率大于等于</w:t>
      </w:r>
      <w:r>
        <w:rPr>
          <w:rFonts w:hint="eastAsia" w:cs="Calibri"/>
          <w:lang w:val="en-US" w:eastAsia="zh-CN"/>
        </w:rPr>
        <w:t>90%</w:t>
      </w:r>
      <w:r>
        <w:rPr>
          <w:rFonts w:ascii="仿宋_GB2312"/>
        </w:rPr>
        <w:t>;</w:t>
      </w:r>
      <w:r>
        <w:rPr>
          <w:rFonts w:hint="default" w:ascii="Calibri" w:hAnsi="Calibri" w:cs="Calibri"/>
        </w:rPr>
        <w:t>⑧</w:t>
      </w:r>
      <w:r>
        <w:rPr>
          <w:rFonts w:hint="eastAsia" w:cs="Calibri"/>
          <w:lang w:eastAsia="zh-CN"/>
        </w:rPr>
        <w:t>资金发放（补助）及时率大于等于</w:t>
      </w:r>
      <w:r>
        <w:rPr>
          <w:rFonts w:hint="eastAsia" w:cs="Calibri"/>
          <w:lang w:val="en-US" w:eastAsia="zh-CN"/>
        </w:rPr>
        <w:t>90%</w:t>
      </w:r>
      <w:r>
        <w:rPr>
          <w:rFonts w:ascii="仿宋_GB2312"/>
        </w:rPr>
        <w:t>;</w:t>
      </w:r>
      <w:r>
        <w:rPr>
          <w:rFonts w:hint="default" w:ascii="Calibri" w:hAnsi="Calibri" w:cs="Calibri"/>
        </w:rPr>
        <w:t>⑨</w:t>
      </w:r>
      <w:r>
        <w:rPr>
          <w:rFonts w:hint="eastAsia" w:cs="Calibri"/>
          <w:lang w:eastAsia="zh-CN"/>
        </w:rPr>
        <w:t>保障场馆正常运转：有效保障</w:t>
      </w:r>
      <w:r>
        <w:rPr>
          <w:rFonts w:ascii="仿宋_GB2312"/>
        </w:rPr>
        <w:t>;</w:t>
      </w:r>
      <w:r>
        <w:rPr>
          <w:rFonts w:hint="default" w:ascii="Calibri" w:hAnsi="Calibri" w:cs="Calibri"/>
        </w:rPr>
        <w:t>⑩</w:t>
      </w:r>
      <w:r>
        <w:rPr>
          <w:rFonts w:hint="eastAsia" w:cs="Calibri"/>
          <w:lang w:eastAsia="zh-CN"/>
        </w:rPr>
        <w:t>加强社会稳定：有效加强</w:t>
      </w:r>
      <w:r>
        <w:rPr>
          <w:rFonts w:ascii="仿宋_GB2312"/>
        </w:rPr>
        <w:t>;</w:t>
      </w:r>
    </w:p>
    <w:p w14:paraId="46536C08">
      <w:pPr>
        <w:spacing w:line="360" w:lineRule="auto"/>
        <w:ind w:firstLine="560"/>
        <w:rPr>
          <w:rFonts w:hint="default" w:ascii="Calibri" w:hAnsi="Calibri" w:eastAsia="仿宋_GB2312" w:cs="Calibri"/>
          <w:lang w:eastAsia="zh-CN"/>
        </w:rPr>
      </w:pPr>
      <w:r>
        <w:rPr>
          <w:rFonts w:hint="eastAsia" w:ascii="仿宋_GB2312"/>
        </w:rPr>
        <w:t>2</w:t>
      </w:r>
      <w:r>
        <w:rPr>
          <w:rFonts w:ascii="仿宋_GB2312"/>
        </w:rPr>
        <w:t>023年当年完成情况</w:t>
      </w:r>
      <w:r>
        <w:rPr>
          <w:rFonts w:hint="eastAsia" w:ascii="仿宋_GB2312"/>
          <w:lang w:eastAsia="zh-CN"/>
        </w:rPr>
        <w:t>，</w:t>
      </w:r>
      <w:r>
        <w:rPr>
          <w:rFonts w:ascii="仿宋_GB2312"/>
        </w:rPr>
        <w:t>实际完成情况为：①</w:t>
      </w:r>
      <w:r>
        <w:rPr>
          <w:rFonts w:hint="eastAsia" w:ascii="仿宋_GB2312"/>
          <w:lang w:eastAsia="zh-CN"/>
        </w:rPr>
        <w:t>聘用保安岗位数</w:t>
      </w:r>
      <w:r>
        <w:rPr>
          <w:rFonts w:hint="eastAsia" w:ascii="仿宋_GB2312"/>
          <w:lang w:val="en-US" w:eastAsia="zh-CN"/>
        </w:rPr>
        <w:t>34岗</w:t>
      </w:r>
      <w:r>
        <w:rPr>
          <w:rFonts w:ascii="仿宋_GB2312"/>
        </w:rPr>
        <w:t>;②</w:t>
      </w:r>
      <w:r>
        <w:rPr>
          <w:rFonts w:hint="eastAsia" w:ascii="仿宋_GB2312"/>
          <w:lang w:eastAsia="zh-CN"/>
        </w:rPr>
        <w:t>每年安保培训、演练次数</w:t>
      </w:r>
      <w:r>
        <w:rPr>
          <w:rFonts w:hint="eastAsia" w:ascii="仿宋_GB2312"/>
          <w:lang w:val="en-US" w:eastAsia="zh-CN"/>
        </w:rPr>
        <w:t>10次</w:t>
      </w:r>
      <w:r>
        <w:rPr>
          <w:rFonts w:ascii="仿宋_GB2312"/>
        </w:rPr>
        <w:t>;</w:t>
      </w:r>
      <w:r>
        <w:rPr>
          <w:rFonts w:hint="default" w:ascii="Calibri" w:hAnsi="Calibri" w:cs="Calibri"/>
        </w:rPr>
        <w:t>③</w:t>
      </w:r>
      <w:r>
        <w:rPr>
          <w:rFonts w:hint="eastAsia" w:cs="Calibri"/>
          <w:lang w:eastAsia="zh-CN"/>
        </w:rPr>
        <w:t>全年完成工作时间</w:t>
      </w:r>
      <w:r>
        <w:rPr>
          <w:rFonts w:hint="eastAsia" w:cs="Calibri"/>
          <w:lang w:val="en-US" w:eastAsia="zh-CN"/>
        </w:rPr>
        <w:t>365天</w:t>
      </w:r>
      <w:r>
        <w:rPr>
          <w:rFonts w:ascii="仿宋_GB2312"/>
        </w:rPr>
        <w:t>;</w:t>
      </w:r>
      <w:r>
        <w:rPr>
          <w:rFonts w:hint="default" w:ascii="Calibri" w:hAnsi="Calibri" w:cs="Calibri"/>
        </w:rPr>
        <w:t>④</w:t>
      </w:r>
      <w:r>
        <w:rPr>
          <w:rFonts w:hint="eastAsia" w:cs="Calibri"/>
          <w:lang w:eastAsia="zh-CN"/>
        </w:rPr>
        <w:t>安保人员持证上岗率</w:t>
      </w:r>
      <w:r>
        <w:rPr>
          <w:rFonts w:hint="eastAsia" w:cs="Calibri"/>
          <w:lang w:val="en-US" w:eastAsia="zh-CN"/>
        </w:rPr>
        <w:t>100%</w:t>
      </w:r>
      <w:r>
        <w:rPr>
          <w:rFonts w:ascii="仿宋_GB2312"/>
        </w:rPr>
        <w:t>;</w:t>
      </w:r>
      <w:r>
        <w:rPr>
          <w:rFonts w:hint="default" w:ascii="Calibri" w:hAnsi="Calibri" w:cs="Calibri"/>
        </w:rPr>
        <w:t>⑤</w:t>
      </w:r>
      <w:r>
        <w:rPr>
          <w:rFonts w:hint="eastAsia" w:cs="Calibri"/>
          <w:lang w:eastAsia="zh-CN"/>
        </w:rPr>
        <w:t>培训演练合格率</w:t>
      </w:r>
      <w:r>
        <w:rPr>
          <w:rFonts w:hint="eastAsia" w:cs="Calibri"/>
          <w:lang w:val="en-US" w:eastAsia="zh-CN"/>
        </w:rPr>
        <w:t>100%</w:t>
      </w:r>
      <w:r>
        <w:rPr>
          <w:rFonts w:ascii="仿宋_GB2312"/>
        </w:rPr>
        <w:t>;</w:t>
      </w:r>
      <w:r>
        <w:rPr>
          <w:rFonts w:hint="default" w:ascii="Calibri" w:hAnsi="Calibri" w:cs="Calibri"/>
        </w:rPr>
        <w:t>⑥</w:t>
      </w:r>
      <w:r>
        <w:rPr>
          <w:rFonts w:hint="eastAsia" w:cs="Calibri"/>
          <w:lang w:eastAsia="zh-CN"/>
        </w:rPr>
        <w:t>全年安全事故发生数</w:t>
      </w:r>
      <w:r>
        <w:rPr>
          <w:rFonts w:hint="eastAsia" w:cs="Calibri"/>
          <w:lang w:val="en-US" w:eastAsia="zh-CN"/>
        </w:rPr>
        <w:t>0起</w:t>
      </w:r>
      <w:r>
        <w:rPr>
          <w:rFonts w:ascii="仿宋_GB2312"/>
        </w:rPr>
        <w:t>;</w:t>
      </w:r>
      <w:r>
        <w:rPr>
          <w:rFonts w:hint="default" w:ascii="Calibri" w:hAnsi="Calibri" w:cs="Calibri"/>
        </w:rPr>
        <w:t>⑦</w:t>
      </w:r>
      <w:r>
        <w:rPr>
          <w:rFonts w:hint="eastAsia" w:cs="Calibri"/>
          <w:lang w:eastAsia="zh-CN"/>
        </w:rPr>
        <w:t>工作人员出勤率</w:t>
      </w:r>
      <w:r>
        <w:rPr>
          <w:rFonts w:hint="eastAsia" w:cs="Calibri"/>
          <w:lang w:val="en-US" w:eastAsia="zh-CN"/>
        </w:rPr>
        <w:t>100%</w:t>
      </w:r>
      <w:r>
        <w:rPr>
          <w:rFonts w:ascii="仿宋_GB2312"/>
        </w:rPr>
        <w:t>;</w:t>
      </w:r>
      <w:r>
        <w:rPr>
          <w:rFonts w:hint="default" w:ascii="Calibri" w:hAnsi="Calibri" w:cs="Calibri"/>
        </w:rPr>
        <w:t>⑧</w:t>
      </w:r>
      <w:r>
        <w:rPr>
          <w:rFonts w:hint="eastAsia" w:cs="Calibri"/>
          <w:lang w:eastAsia="zh-CN"/>
        </w:rPr>
        <w:t>资金发放（补助）及时率</w:t>
      </w:r>
      <w:r>
        <w:rPr>
          <w:rFonts w:hint="eastAsia" w:cs="Calibri"/>
          <w:lang w:val="en-US" w:eastAsia="zh-CN"/>
        </w:rPr>
        <w:t>99.29%</w:t>
      </w:r>
      <w:r>
        <w:rPr>
          <w:rFonts w:ascii="仿宋_GB2312"/>
        </w:rPr>
        <w:t>;</w:t>
      </w:r>
      <w:r>
        <w:rPr>
          <w:rFonts w:hint="default" w:ascii="Calibri" w:hAnsi="Calibri" w:cs="Calibri"/>
        </w:rPr>
        <w:t>⑨</w:t>
      </w:r>
      <w:r>
        <w:rPr>
          <w:rFonts w:hint="eastAsia" w:cs="Calibri"/>
          <w:lang w:eastAsia="zh-CN"/>
        </w:rPr>
        <w:t>保障场馆正常运转：完全达到预期</w:t>
      </w:r>
      <w:r>
        <w:rPr>
          <w:rFonts w:ascii="仿宋_GB2312"/>
        </w:rPr>
        <w:t>;</w:t>
      </w:r>
      <w:r>
        <w:rPr>
          <w:rFonts w:hint="default" w:ascii="Calibri" w:hAnsi="Calibri" w:cs="Calibri"/>
        </w:rPr>
        <w:t>⑩</w:t>
      </w:r>
      <w:r>
        <w:rPr>
          <w:rFonts w:hint="eastAsia" w:cs="Calibri"/>
          <w:lang w:eastAsia="zh-CN"/>
        </w:rPr>
        <w:t>加强社会稳定：完全达到预期</w:t>
      </w:r>
      <w:r>
        <w:rPr>
          <w:rFonts w:ascii="仿宋_GB2312"/>
        </w:rPr>
        <w:t>;</w:t>
      </w:r>
    </w:p>
    <w:p w14:paraId="024C4BA3">
      <w:pPr>
        <w:spacing w:line="360" w:lineRule="auto"/>
        <w:ind w:firstLine="560"/>
        <w:rPr>
          <w:rFonts w:ascii="仿宋_GB2312"/>
        </w:rPr>
      </w:pPr>
    </w:p>
    <w:p w14:paraId="304551CE">
      <w:pPr>
        <w:pStyle w:val="4"/>
        <w:ind w:firstLine="643"/>
      </w:pPr>
      <w:bookmarkStart w:id="5" w:name="_Toc165277223"/>
      <w:r>
        <w:rPr>
          <w:rFonts w:hint="eastAsia"/>
        </w:rPr>
        <w:t>2</w:t>
      </w:r>
      <w:r>
        <w:t>.资金投入和使用情况</w:t>
      </w:r>
      <w:bookmarkEnd w:id="5"/>
    </w:p>
    <w:p w14:paraId="465BB730">
      <w:pPr>
        <w:spacing w:line="360" w:lineRule="auto"/>
        <w:ind w:firstLine="560"/>
        <w:rPr>
          <w:rFonts w:ascii="仿宋_GB2312"/>
        </w:rPr>
      </w:pPr>
      <w:r>
        <w:rPr>
          <w:rFonts w:hint="eastAsia" w:ascii="仿宋_GB2312"/>
        </w:rPr>
        <w:t>该项目资金投入情况：经</w:t>
      </w:r>
      <w:r>
        <w:rPr>
          <w:rFonts w:hint="eastAsia" w:ascii="仿宋_GB2312"/>
          <w:lang w:eastAsia="zh-CN"/>
        </w:rPr>
        <w:t>乌财科教【</w:t>
      </w:r>
      <w:r>
        <w:rPr>
          <w:rFonts w:hint="eastAsia" w:ascii="仿宋_GB2312"/>
          <w:lang w:val="en-US" w:eastAsia="zh-CN"/>
        </w:rPr>
        <w:t>2023</w:t>
      </w:r>
      <w:r>
        <w:rPr>
          <w:rFonts w:hint="eastAsia" w:ascii="仿宋_GB2312"/>
          <w:lang w:eastAsia="zh-CN"/>
        </w:rPr>
        <w:t>】</w:t>
      </w:r>
      <w:r>
        <w:rPr>
          <w:rFonts w:hint="eastAsia" w:ascii="仿宋_GB2312"/>
          <w:lang w:val="en-US" w:eastAsia="zh-CN"/>
        </w:rPr>
        <w:t>2</w:t>
      </w:r>
      <w:r>
        <w:rPr>
          <w:rFonts w:hint="eastAsia" w:ascii="仿宋_GB2312"/>
        </w:rPr>
        <w:t>号文件批准，项目系</w:t>
      </w:r>
      <w:r>
        <w:rPr>
          <w:rFonts w:ascii="仿宋_GB2312"/>
        </w:rPr>
        <w:t>2023</w:t>
      </w:r>
      <w:r>
        <w:rPr>
          <w:rFonts w:hint="eastAsia" w:ascii="仿宋_GB2312"/>
        </w:rPr>
        <w:t>年本级资金，共安排预算</w:t>
      </w:r>
      <w:r>
        <w:rPr>
          <w:rFonts w:hint="eastAsia" w:ascii="仿宋_GB2312"/>
          <w:lang w:val="en-US" w:eastAsia="zh-CN"/>
        </w:rPr>
        <w:t>102</w:t>
      </w:r>
      <w:r>
        <w:rPr>
          <w:rFonts w:hint="eastAsia" w:ascii="仿宋_GB2312"/>
        </w:rPr>
        <w:t>万元，于202</w:t>
      </w:r>
      <w:r>
        <w:rPr>
          <w:rFonts w:ascii="仿宋_GB2312"/>
        </w:rPr>
        <w:t>3</w:t>
      </w:r>
      <w:r>
        <w:rPr>
          <w:rFonts w:hint="eastAsia" w:ascii="仿宋_GB2312"/>
        </w:rPr>
        <w:t>年年初部分预算批复项目，</w:t>
      </w:r>
      <w:r>
        <w:rPr>
          <w:rFonts w:hint="eastAsia" w:ascii="仿宋_GB2312"/>
          <w:lang w:val="en-US" w:eastAsia="zh-CN"/>
        </w:rPr>
        <w:t>2023年年中无追加资金。</w:t>
      </w:r>
    </w:p>
    <w:p w14:paraId="218D07F7">
      <w:pPr>
        <w:spacing w:line="360" w:lineRule="auto"/>
        <w:ind w:firstLine="560"/>
        <w:rPr>
          <w:rFonts w:ascii="仿宋_GB2312"/>
        </w:rPr>
      </w:pPr>
      <w:r>
        <w:rPr>
          <w:rFonts w:hint="eastAsia" w:ascii="仿宋_GB2312"/>
        </w:rPr>
        <w:t>该项目资金使用情况：</w:t>
      </w:r>
      <w:r>
        <w:rPr>
          <w:rFonts w:hint="eastAsia" w:ascii="仿宋_GB2312"/>
          <w:lang w:val="en-US" w:eastAsia="zh-CN"/>
        </w:rPr>
        <w:t>2023年该项目</w:t>
      </w:r>
      <w:r>
        <w:rPr>
          <w:rFonts w:hint="eastAsia" w:ascii="仿宋_GB2312"/>
        </w:rPr>
        <w:t>总预算</w:t>
      </w:r>
      <w:r>
        <w:rPr>
          <w:rFonts w:hint="eastAsia" w:ascii="仿宋_GB2312"/>
          <w:lang w:eastAsia="zh-CN"/>
        </w:rPr>
        <w:t>资金为</w:t>
      </w:r>
      <w:r>
        <w:rPr>
          <w:rFonts w:hint="eastAsia" w:ascii="仿宋_GB2312"/>
          <w:lang w:val="en-US" w:eastAsia="zh-CN"/>
        </w:rPr>
        <w:t>102万元，资金投入方向主要</w:t>
      </w:r>
      <w:r>
        <w:rPr>
          <w:rFonts w:hint="eastAsia" w:ascii="仿宋_GB2312"/>
          <w:lang w:eastAsia="zh-CN"/>
        </w:rPr>
        <w:t>用于各场馆安保人员工资</w:t>
      </w:r>
      <w:r>
        <w:rPr>
          <w:rFonts w:hint="eastAsia" w:ascii="仿宋_GB2312"/>
          <w:lang w:val="en-US" w:eastAsia="zh-CN"/>
        </w:rPr>
        <w:t>，共计执行101.28万元，节约了0.72万元，被财政收回，预算执行率为100%。</w:t>
      </w:r>
    </w:p>
    <w:p w14:paraId="25761FDC">
      <w:pPr>
        <w:pStyle w:val="3"/>
        <w:ind w:firstLine="643"/>
        <w:rPr>
          <w:rFonts w:ascii="仿宋" w:hAnsi="仿宋" w:eastAsia="仿宋"/>
          <w:lang w:bidi="en-US"/>
        </w:rPr>
      </w:pPr>
      <w:bookmarkStart w:id="6" w:name="_Toc165277224"/>
      <w:bookmarkStart w:id="7" w:name="_Toc67911603"/>
      <w:r>
        <w:rPr>
          <w:rFonts w:hint="eastAsia" w:ascii="仿宋" w:hAnsi="仿宋" w:eastAsia="仿宋"/>
          <w:lang w:bidi="en-US"/>
        </w:rPr>
        <w:t>（二）项目绩效目标：</w:t>
      </w:r>
      <w:bookmarkEnd w:id="6"/>
      <w:bookmarkEnd w:id="7"/>
    </w:p>
    <w:p w14:paraId="52029BF7">
      <w:pPr>
        <w:spacing w:line="360" w:lineRule="auto"/>
        <w:ind w:firstLine="560"/>
        <w:rPr>
          <w:rFonts w:ascii="仿宋_GB2312" w:hAnsi="仿宋"/>
          <w:szCs w:val="28"/>
        </w:rPr>
      </w:pPr>
      <w:r>
        <w:rPr>
          <w:rFonts w:hint="eastAsia" w:ascii="仿宋_GB2312" w:hAnsi="仿宋"/>
          <w:szCs w:val="28"/>
        </w:rPr>
        <w:t>本项目依据《中共中央 国务院关于全面实施预算绩效管理的意见》（中发〔2018〕</w:t>
      </w:r>
      <w:r>
        <w:rPr>
          <w:rFonts w:ascii="仿宋_GB2312" w:hAnsi="仿宋"/>
          <w:szCs w:val="28"/>
        </w:rPr>
        <w:t>34</w:t>
      </w:r>
      <w:r>
        <w:rPr>
          <w:rFonts w:hint="eastAsia" w:ascii="仿宋_GB2312" w:hAnsi="仿宋"/>
          <w:szCs w:val="28"/>
        </w:rPr>
        <w:t>号）、《关于印发&lt;乌鲁木齐市本级部门预算绩效目标管理暂行办法</w:t>
      </w:r>
      <w:r>
        <w:rPr>
          <w:rFonts w:ascii="仿宋_GB2312" w:hAnsi="仿宋"/>
          <w:szCs w:val="28"/>
        </w:rPr>
        <w:t>&gt;</w:t>
      </w:r>
      <w:r>
        <w:rPr>
          <w:rFonts w:hint="eastAsia" w:ascii="仿宋_GB2312" w:hAnsi="仿宋"/>
          <w:szCs w:val="28"/>
        </w:rPr>
        <w:t>的通知》（乌财预</w:t>
      </w:r>
      <w:bookmarkStart w:id="8" w:name="_Hlk67566397"/>
      <w:r>
        <w:rPr>
          <w:rFonts w:hint="eastAsia" w:ascii="仿宋_GB2312" w:hAnsi="仿宋"/>
          <w:szCs w:val="28"/>
        </w:rPr>
        <w:t>〔2018〕</w:t>
      </w:r>
      <w:r>
        <w:rPr>
          <w:rFonts w:ascii="仿宋_GB2312" w:hAnsi="仿宋"/>
          <w:szCs w:val="28"/>
        </w:rPr>
        <w:t>5</w:t>
      </w:r>
      <w:r>
        <w:rPr>
          <w:rFonts w:hint="eastAsia" w:ascii="仿宋_GB2312" w:hAnsi="仿宋"/>
          <w:szCs w:val="28"/>
        </w:rPr>
        <w:t>6号</w:t>
      </w:r>
      <w:bookmarkEnd w:id="8"/>
      <w:r>
        <w:rPr>
          <w:rFonts w:hint="eastAsia" w:ascii="仿宋_GB2312" w:hAnsi="仿宋"/>
          <w:szCs w:val="28"/>
        </w:rPr>
        <w:t>）、《关于做好2</w:t>
      </w:r>
      <w:r>
        <w:rPr>
          <w:rFonts w:ascii="仿宋_GB2312" w:hAnsi="仿宋"/>
          <w:szCs w:val="28"/>
        </w:rPr>
        <w:t>019</w:t>
      </w:r>
      <w:r>
        <w:rPr>
          <w:rFonts w:hint="eastAsia" w:ascii="仿宋_GB2312" w:hAnsi="仿宋"/>
          <w:szCs w:val="28"/>
        </w:rPr>
        <w:t>年部门预算项目支出绩效目标管理有关事宜的通知》（乌财预〔20</w:t>
      </w:r>
      <w:r>
        <w:rPr>
          <w:rFonts w:ascii="仿宋_GB2312" w:hAnsi="仿宋"/>
          <w:szCs w:val="28"/>
        </w:rPr>
        <w:t>18</w:t>
      </w:r>
      <w:r>
        <w:rPr>
          <w:rFonts w:hint="eastAsia" w:ascii="仿宋_GB2312" w:hAnsi="仿宋"/>
          <w:szCs w:val="28"/>
        </w:rPr>
        <w:t>〕</w:t>
      </w:r>
      <w:r>
        <w:rPr>
          <w:rFonts w:ascii="仿宋_GB2312" w:hAnsi="仿宋"/>
          <w:szCs w:val="28"/>
        </w:rPr>
        <w:t>76</w:t>
      </w:r>
      <w:r>
        <w:rPr>
          <w:rFonts w:hint="eastAsia" w:ascii="仿宋_GB2312" w:hAnsi="仿宋"/>
          <w:szCs w:val="28"/>
        </w:rPr>
        <w:t>号）和《项目支出绩效评价管理办法》（财预〔20</w:t>
      </w:r>
      <w:r>
        <w:rPr>
          <w:rFonts w:ascii="仿宋_GB2312" w:hAnsi="仿宋"/>
          <w:szCs w:val="28"/>
        </w:rPr>
        <w:t>20</w:t>
      </w:r>
      <w:r>
        <w:rPr>
          <w:rFonts w:hint="eastAsia" w:ascii="仿宋_GB2312" w:hAnsi="仿宋"/>
          <w:szCs w:val="28"/>
        </w:rPr>
        <w:t>〕</w:t>
      </w:r>
      <w:r>
        <w:rPr>
          <w:rFonts w:ascii="仿宋_GB2312" w:hAnsi="仿宋"/>
          <w:szCs w:val="28"/>
        </w:rPr>
        <w:t>10</w:t>
      </w:r>
      <w:r>
        <w:rPr>
          <w:rFonts w:hint="eastAsia" w:ascii="仿宋_GB2312" w:hAnsi="仿宋"/>
          <w:szCs w:val="28"/>
        </w:rPr>
        <w:t>号）等文件要求，结合项目开展情况，按照“谁申请资金，谁编制目标”的原则和规定的方法、程序，科学合理编制。绩效目标作为对预期指标的细化和量化描述，主要包括产出指标、效益指标和满意度指标。按照指向明确、细化量化、合理可行和相应匹配的要求，设定三级绩效目标（数量指标、质量指标、时效指标、成本指标、效益指标、满意度指标），以准确、清晰地反映财政资金在使用期所能达到的预期产出和效果。</w:t>
      </w:r>
    </w:p>
    <w:p w14:paraId="26466F06">
      <w:pPr>
        <w:spacing w:line="360" w:lineRule="auto"/>
        <w:ind w:firstLine="560"/>
        <w:rPr>
          <w:rFonts w:ascii="仿宋_GB2312" w:hAnsi="仿宋"/>
          <w:szCs w:val="28"/>
          <w:highlight w:val="none"/>
        </w:rPr>
      </w:pPr>
      <w:r>
        <w:rPr>
          <w:rFonts w:hint="eastAsia" w:ascii="仿宋_GB2312" w:hAnsi="仿宋"/>
          <w:szCs w:val="28"/>
          <w:highlight w:val="none"/>
        </w:rPr>
        <w:t>该项目为</w:t>
      </w:r>
      <w:r>
        <w:rPr>
          <w:rFonts w:hint="eastAsia" w:ascii="仿宋_GB2312" w:hAnsi="仿宋"/>
          <w:szCs w:val="28"/>
          <w:highlight w:val="none"/>
          <w:lang w:val="en-US" w:eastAsia="zh-CN"/>
        </w:rPr>
        <w:t>经常性</w:t>
      </w:r>
      <w:r>
        <w:rPr>
          <w:rFonts w:ascii="仿宋_GB2312" w:hAnsi="仿宋"/>
          <w:szCs w:val="28"/>
          <w:highlight w:val="none"/>
        </w:rPr>
        <w:t>项目。</w:t>
      </w:r>
    </w:p>
    <w:p w14:paraId="1F60CED8">
      <w:pPr>
        <w:spacing w:line="360" w:lineRule="auto"/>
        <w:ind w:firstLine="560"/>
        <w:rPr>
          <w:rFonts w:hint="eastAsia" w:cs="Calibri"/>
          <w:lang w:eastAsia="zh-CN"/>
        </w:rPr>
      </w:pPr>
      <w:r>
        <w:rPr>
          <w:rFonts w:hint="eastAsia" w:ascii="仿宋_GB2312" w:hAnsi="仿宋"/>
          <w:szCs w:val="28"/>
        </w:rPr>
        <w:t>该项目总体绩效目标：</w:t>
      </w:r>
      <w:r>
        <w:rPr>
          <w:rFonts w:hint="eastAsia" w:ascii="仿宋_GB2312" w:hAnsi="仿宋"/>
          <w:szCs w:val="28"/>
          <w:lang w:val="en-US" w:eastAsia="zh-CN"/>
        </w:rPr>
        <w:t>2023年完成</w:t>
      </w:r>
      <w:r>
        <w:rPr>
          <w:rFonts w:hint="eastAsia" w:ascii="仿宋_GB2312"/>
          <w:lang w:eastAsia="zh-CN"/>
        </w:rPr>
        <w:t>聘用保安；安保培训、演练；</w:t>
      </w:r>
      <w:r>
        <w:rPr>
          <w:rFonts w:hint="eastAsia" w:cs="Calibri"/>
          <w:lang w:eastAsia="zh-CN"/>
        </w:rPr>
        <w:t>安保人员持证上岗等，保持一个稳定的安保队伍，建立一个快速反应的安保机制，来保障各场馆正常运转。</w:t>
      </w:r>
    </w:p>
    <w:p w14:paraId="40DA45B5">
      <w:pPr>
        <w:spacing w:line="360" w:lineRule="auto"/>
        <w:ind w:firstLine="560"/>
        <w:rPr>
          <w:rFonts w:hint="eastAsia" w:ascii="Calibri" w:hAnsi="Calibri" w:eastAsia="仿宋_GB2312" w:cs="Calibri"/>
          <w:lang w:eastAsia="zh-CN"/>
        </w:rPr>
      </w:pPr>
      <w:r>
        <w:rPr>
          <w:rFonts w:ascii="仿宋_GB2312" w:hAnsi="仿宋"/>
          <w:szCs w:val="28"/>
        </w:rPr>
        <w:t>该项目阶段性目标为：</w:t>
      </w:r>
      <w:r>
        <w:rPr>
          <w:rFonts w:hint="eastAsia" w:ascii="仿宋_GB2312" w:hAnsi="仿宋"/>
          <w:szCs w:val="28"/>
        </w:rPr>
        <w:t>在2</w:t>
      </w:r>
      <w:r>
        <w:rPr>
          <w:rFonts w:ascii="仿宋_GB2312" w:hAnsi="仿宋"/>
          <w:szCs w:val="28"/>
        </w:rPr>
        <w:t>023年</w:t>
      </w:r>
      <w:r>
        <w:rPr>
          <w:rFonts w:hint="eastAsia" w:ascii="仿宋_GB2312" w:hAnsi="仿宋"/>
          <w:szCs w:val="28"/>
        </w:rPr>
        <w:t>计划完成</w:t>
      </w:r>
      <w:r>
        <w:rPr>
          <w:rFonts w:hint="eastAsia" w:ascii="仿宋_GB2312"/>
          <w:lang w:eastAsia="zh-CN"/>
        </w:rPr>
        <w:t>聘用保安岗位数</w:t>
      </w:r>
      <w:r>
        <w:rPr>
          <w:rFonts w:hint="eastAsia" w:ascii="仿宋_GB2312"/>
          <w:lang w:val="en-US" w:eastAsia="zh-CN"/>
        </w:rPr>
        <w:t>34岗</w:t>
      </w:r>
      <w:r>
        <w:rPr>
          <w:rFonts w:ascii="仿宋_GB2312"/>
        </w:rPr>
        <w:t>;</w:t>
      </w:r>
      <w:r>
        <w:rPr>
          <w:rFonts w:hint="eastAsia" w:ascii="仿宋_GB2312"/>
          <w:lang w:eastAsia="zh-CN"/>
        </w:rPr>
        <w:t>每年安保培训、演练次数大于等于</w:t>
      </w:r>
      <w:r>
        <w:rPr>
          <w:rFonts w:hint="eastAsia" w:ascii="仿宋_GB2312"/>
          <w:lang w:val="en-US" w:eastAsia="zh-CN"/>
        </w:rPr>
        <w:t>10次</w:t>
      </w:r>
      <w:r>
        <w:rPr>
          <w:rFonts w:ascii="仿宋_GB2312"/>
        </w:rPr>
        <w:t>;</w:t>
      </w:r>
      <w:r>
        <w:rPr>
          <w:rFonts w:hint="eastAsia" w:cs="Calibri"/>
          <w:lang w:eastAsia="zh-CN"/>
        </w:rPr>
        <w:t>全年完成工作时间</w:t>
      </w:r>
      <w:r>
        <w:rPr>
          <w:rFonts w:hint="eastAsia" w:cs="Calibri"/>
          <w:lang w:val="en-US" w:eastAsia="zh-CN"/>
        </w:rPr>
        <w:t>365天</w:t>
      </w:r>
      <w:r>
        <w:rPr>
          <w:rFonts w:ascii="仿宋_GB2312"/>
        </w:rPr>
        <w:t>;</w:t>
      </w:r>
      <w:r>
        <w:rPr>
          <w:rFonts w:hint="eastAsia" w:cs="Calibri"/>
          <w:lang w:eastAsia="zh-CN"/>
        </w:rPr>
        <w:t>安保人员持证上岗率大于等于</w:t>
      </w:r>
      <w:r>
        <w:rPr>
          <w:rFonts w:hint="eastAsia" w:cs="Calibri"/>
          <w:lang w:val="en-US" w:eastAsia="zh-CN"/>
        </w:rPr>
        <w:t>90%</w:t>
      </w:r>
      <w:r>
        <w:rPr>
          <w:rFonts w:ascii="仿宋_GB2312"/>
        </w:rPr>
        <w:t>;</w:t>
      </w:r>
      <w:r>
        <w:rPr>
          <w:rFonts w:hint="eastAsia" w:cs="Calibri"/>
          <w:lang w:eastAsia="zh-CN"/>
        </w:rPr>
        <w:t>培训演练合格率大于等于</w:t>
      </w:r>
      <w:r>
        <w:rPr>
          <w:rFonts w:hint="eastAsia" w:cs="Calibri"/>
          <w:lang w:val="en-US" w:eastAsia="zh-CN"/>
        </w:rPr>
        <w:t>90%</w:t>
      </w:r>
      <w:r>
        <w:rPr>
          <w:rFonts w:ascii="仿宋_GB2312"/>
        </w:rPr>
        <w:t>;</w:t>
      </w:r>
      <w:r>
        <w:rPr>
          <w:rFonts w:hint="eastAsia" w:cs="Calibri"/>
          <w:lang w:eastAsia="zh-CN"/>
        </w:rPr>
        <w:t>全年安全事故发生数</w:t>
      </w:r>
      <w:r>
        <w:rPr>
          <w:rFonts w:hint="eastAsia" w:cs="Calibri"/>
          <w:lang w:val="en-US" w:eastAsia="zh-CN"/>
        </w:rPr>
        <w:t>0起</w:t>
      </w:r>
      <w:r>
        <w:rPr>
          <w:rFonts w:ascii="仿宋_GB2312"/>
        </w:rPr>
        <w:t>;</w:t>
      </w:r>
      <w:r>
        <w:rPr>
          <w:rFonts w:hint="eastAsia" w:cs="Calibri"/>
          <w:lang w:eastAsia="zh-CN"/>
        </w:rPr>
        <w:t>工作人员出勤率大于等于</w:t>
      </w:r>
      <w:r>
        <w:rPr>
          <w:rFonts w:hint="eastAsia" w:cs="Calibri"/>
          <w:lang w:val="en-US" w:eastAsia="zh-CN"/>
        </w:rPr>
        <w:t>90%</w:t>
      </w:r>
      <w:r>
        <w:rPr>
          <w:rFonts w:ascii="仿宋_GB2312"/>
        </w:rPr>
        <w:t>;</w:t>
      </w:r>
      <w:r>
        <w:rPr>
          <w:rFonts w:hint="eastAsia" w:cs="Calibri"/>
          <w:lang w:eastAsia="zh-CN"/>
        </w:rPr>
        <w:t>资金发放（补助）及时率大于等于</w:t>
      </w:r>
      <w:r>
        <w:rPr>
          <w:rFonts w:hint="eastAsia" w:cs="Calibri"/>
          <w:lang w:val="en-US" w:eastAsia="zh-CN"/>
        </w:rPr>
        <w:t>90%</w:t>
      </w:r>
      <w:r>
        <w:rPr>
          <w:rFonts w:ascii="仿宋_GB2312"/>
        </w:rPr>
        <w:t>;</w:t>
      </w:r>
      <w:r>
        <w:rPr>
          <w:rFonts w:hint="eastAsia" w:cs="Calibri"/>
          <w:lang w:eastAsia="zh-CN"/>
        </w:rPr>
        <w:t>保障场馆正常运转：有效保障</w:t>
      </w:r>
      <w:r>
        <w:rPr>
          <w:rFonts w:ascii="仿宋_GB2312"/>
        </w:rPr>
        <w:t>;</w:t>
      </w:r>
      <w:r>
        <w:rPr>
          <w:rFonts w:hint="eastAsia" w:cs="Calibri"/>
          <w:lang w:eastAsia="zh-CN"/>
        </w:rPr>
        <w:t>加强社会稳定：有效加强</w:t>
      </w:r>
      <w:r>
        <w:rPr>
          <w:rFonts w:hint="eastAsia" w:ascii="仿宋_GB2312"/>
          <w:lang w:eastAsia="zh-CN"/>
        </w:rPr>
        <w:t>。</w:t>
      </w:r>
    </w:p>
    <w:p w14:paraId="29878659">
      <w:pPr>
        <w:pStyle w:val="2"/>
        <w:ind w:firstLine="0" w:firstLineChars="0"/>
        <w:jc w:val="left"/>
        <w:rPr>
          <w:rFonts w:ascii="仿宋" w:hAnsi="仿宋" w:eastAsia="仿宋"/>
          <w:sz w:val="36"/>
          <w:szCs w:val="36"/>
          <w:lang w:bidi="en-US"/>
        </w:rPr>
      </w:pPr>
      <w:bookmarkStart w:id="9" w:name="_Toc165277225"/>
      <w:bookmarkStart w:id="10" w:name="_Toc67911604"/>
      <w:r>
        <w:rPr>
          <w:rFonts w:hint="eastAsia" w:ascii="仿宋" w:hAnsi="仿宋" w:eastAsia="仿宋"/>
          <w:sz w:val="36"/>
          <w:szCs w:val="36"/>
          <w:lang w:bidi="en-US"/>
        </w:rPr>
        <w:t>二、绩效评价工作开展情况</w:t>
      </w:r>
      <w:bookmarkEnd w:id="9"/>
      <w:bookmarkEnd w:id="10"/>
    </w:p>
    <w:p w14:paraId="159D15B6">
      <w:pPr>
        <w:pStyle w:val="3"/>
        <w:ind w:firstLine="643"/>
        <w:rPr>
          <w:rFonts w:ascii="仿宋" w:hAnsi="仿宋" w:eastAsia="仿宋"/>
          <w:lang w:bidi="en-US"/>
        </w:rPr>
      </w:pPr>
      <w:bookmarkStart w:id="11" w:name="_Toc67911605"/>
      <w:bookmarkStart w:id="12" w:name="_Toc165277226"/>
      <w:r>
        <w:rPr>
          <w:rFonts w:hint="eastAsia" w:ascii="仿宋" w:hAnsi="仿宋" w:eastAsia="仿宋"/>
          <w:lang w:bidi="en-US"/>
        </w:rPr>
        <w:t>（一）绩效评价目的、对象和范围</w:t>
      </w:r>
      <w:bookmarkEnd w:id="11"/>
      <w:bookmarkEnd w:id="12"/>
    </w:p>
    <w:p w14:paraId="6463A1A9">
      <w:pPr>
        <w:pStyle w:val="4"/>
        <w:ind w:firstLine="643"/>
        <w:rPr>
          <w:rFonts w:hint="eastAsia" w:ascii="仿宋_GB2312" w:hAnsi="仿宋"/>
          <w:szCs w:val="28"/>
          <w:lang w:eastAsia="zh-CN"/>
        </w:rPr>
      </w:pPr>
      <w:bookmarkStart w:id="13" w:name="_Toc165277227"/>
      <w:r>
        <w:rPr>
          <w:rFonts w:hint="eastAsia"/>
        </w:rPr>
        <w:t>1</w:t>
      </w:r>
      <w:r>
        <w:t>.绩效评价完整性</w:t>
      </w:r>
      <w:bookmarkEnd w:id="13"/>
    </w:p>
    <w:p w14:paraId="1BD46679">
      <w:pPr>
        <w:spacing w:line="360" w:lineRule="auto"/>
        <w:ind w:firstLine="560"/>
        <w:rPr>
          <w:rFonts w:hint="eastAsia" w:cs="Calibri"/>
          <w:highlight w:val="none"/>
          <w:lang w:eastAsia="zh-CN"/>
        </w:rPr>
      </w:pPr>
      <w:r>
        <w:rPr>
          <w:rFonts w:hint="eastAsia" w:cs="Calibri"/>
          <w:highlight w:val="none"/>
          <w:lang w:eastAsia="zh-CN"/>
        </w:rPr>
        <w:t>项目目标、</w:t>
      </w:r>
      <w:r>
        <w:rPr>
          <w:rFonts w:hint="eastAsia" w:ascii="仿宋_GB2312" w:hAnsi="仿宋"/>
          <w:szCs w:val="28"/>
          <w:highlight w:val="none"/>
        </w:rPr>
        <w:t>范围</w:t>
      </w:r>
      <w:r>
        <w:rPr>
          <w:rFonts w:hint="eastAsia" w:ascii="仿宋_GB2312" w:hAnsi="仿宋"/>
          <w:szCs w:val="28"/>
          <w:highlight w:val="none"/>
          <w:lang w:eastAsia="zh-CN"/>
        </w:rPr>
        <w:t>等</w:t>
      </w:r>
      <w:r>
        <w:rPr>
          <w:rFonts w:hint="eastAsia" w:cs="Calibri"/>
          <w:highlight w:val="none"/>
          <w:lang w:eastAsia="zh-CN"/>
        </w:rPr>
        <w:t>通过绩效评价指标体系都能完整的体现，数量指标聘用保安岗位数，每年安保培训、演练次数，全年完成工作时间；以及质量指标安保人员持证上岗率</w:t>
      </w:r>
      <w:r>
        <w:rPr>
          <w:rFonts w:hint="eastAsia" w:cs="Calibri"/>
          <w:highlight w:val="none"/>
          <w:lang w:val="en-US" w:eastAsia="zh-CN"/>
        </w:rPr>
        <w:t>，</w:t>
      </w:r>
      <w:r>
        <w:rPr>
          <w:rFonts w:hint="eastAsia" w:cs="Calibri"/>
          <w:highlight w:val="none"/>
          <w:lang w:eastAsia="zh-CN"/>
        </w:rPr>
        <w:t>全年安全事故发生数</w:t>
      </w:r>
      <w:r>
        <w:rPr>
          <w:rFonts w:hint="eastAsia" w:cs="Calibri"/>
          <w:highlight w:val="none"/>
          <w:lang w:val="en-US" w:eastAsia="zh-CN"/>
        </w:rPr>
        <w:t>，</w:t>
      </w:r>
      <w:r>
        <w:rPr>
          <w:rFonts w:hint="eastAsia" w:cs="Calibri"/>
          <w:highlight w:val="none"/>
          <w:lang w:eastAsia="zh-CN"/>
        </w:rPr>
        <w:t>工作人员出勤率；时效指标资金发放（补助）及时率；社会效益指标保障场馆正常运转，加强社会稳定；从数量、质量、时效、社会效益四个方面完整体现保安人员经费项目的项目目标和项目范围。</w:t>
      </w:r>
    </w:p>
    <w:p w14:paraId="5FD9E76E">
      <w:pPr>
        <w:spacing w:line="360" w:lineRule="auto"/>
        <w:ind w:firstLine="560"/>
        <w:rPr>
          <w:rFonts w:hint="eastAsia" w:eastAsia="仿宋_GB2312" w:cs="Calibri"/>
          <w:highlight w:val="none"/>
          <w:lang w:eastAsia="zh-CN"/>
        </w:rPr>
      </w:pPr>
      <w:r>
        <w:rPr>
          <w:rFonts w:hint="eastAsia" w:ascii="仿宋_GB2312" w:hAnsi="仿宋"/>
          <w:szCs w:val="28"/>
          <w:highlight w:val="none"/>
        </w:rPr>
        <w:t>项目的计划</w:t>
      </w:r>
      <w:r>
        <w:rPr>
          <w:rFonts w:hint="eastAsia" w:ascii="仿宋_GB2312" w:hAnsi="仿宋"/>
          <w:szCs w:val="28"/>
          <w:highlight w:val="none"/>
          <w:lang w:eastAsia="zh-CN"/>
        </w:rPr>
        <w:t>和执行过程按照合同约定和设置的绩效目标执行，</w:t>
      </w:r>
      <w:r>
        <w:rPr>
          <w:rFonts w:hint="eastAsia" w:ascii="仿宋_GB2312" w:hAnsi="仿宋"/>
          <w:szCs w:val="28"/>
          <w:highlight w:val="none"/>
        </w:rPr>
        <w:t>以便于体现项目的进展情况和完成度。</w:t>
      </w:r>
    </w:p>
    <w:p w14:paraId="16AA13CB">
      <w:pPr>
        <w:spacing w:line="360" w:lineRule="auto"/>
        <w:ind w:firstLine="560"/>
        <w:rPr>
          <w:rFonts w:hint="default" w:eastAsia="仿宋_GB2312" w:cs="Calibri"/>
          <w:highlight w:val="none"/>
          <w:lang w:val="en-US" w:eastAsia="zh-CN"/>
        </w:rPr>
      </w:pPr>
      <w:r>
        <w:rPr>
          <w:rFonts w:hint="eastAsia" w:cs="Calibri"/>
          <w:highlight w:val="none"/>
          <w:lang w:eastAsia="zh-CN"/>
        </w:rPr>
        <w:t>绩效评价数据都来源于实际的保安人员考勤表、安保培训照片和安保演练报告、保安证、</w:t>
      </w:r>
      <w:r>
        <w:rPr>
          <w:rFonts w:hint="eastAsia" w:cs="Calibri"/>
          <w:highlight w:val="none"/>
          <w:lang w:val="en-US" w:eastAsia="zh-CN"/>
        </w:rPr>
        <w:t>2023</w:t>
      </w:r>
      <w:r>
        <w:rPr>
          <w:rFonts w:hint="eastAsia" w:cs="Calibri"/>
          <w:highlight w:val="none"/>
          <w:lang w:eastAsia="zh-CN"/>
        </w:rPr>
        <w:t>乌鲁木齐市博物馆的工作总结等，采集的数据都为</w:t>
      </w:r>
      <w:r>
        <w:rPr>
          <w:rFonts w:hint="eastAsia" w:cs="Calibri"/>
          <w:highlight w:val="none"/>
          <w:lang w:val="en-US" w:eastAsia="zh-CN"/>
        </w:rPr>
        <w:t>2023年项目实际情况，确保数据的准确性和完整性。</w:t>
      </w:r>
    </w:p>
    <w:p w14:paraId="6A80F4E1">
      <w:pPr>
        <w:spacing w:line="360" w:lineRule="auto"/>
        <w:ind w:firstLine="560"/>
        <w:rPr>
          <w:rFonts w:hint="eastAsia" w:cs="Calibri"/>
          <w:highlight w:val="none"/>
          <w:lang w:eastAsia="zh-CN"/>
        </w:rPr>
      </w:pPr>
    </w:p>
    <w:p w14:paraId="5C57382B">
      <w:pPr>
        <w:pStyle w:val="4"/>
        <w:ind w:firstLine="643"/>
        <w:rPr>
          <w:highlight w:val="none"/>
        </w:rPr>
      </w:pPr>
      <w:bookmarkStart w:id="14" w:name="_Toc165277228"/>
      <w:r>
        <w:rPr>
          <w:highlight w:val="none"/>
        </w:rPr>
        <w:t>2</w:t>
      </w:r>
      <w:r>
        <w:rPr>
          <w:rFonts w:hint="eastAsia"/>
          <w:highlight w:val="none"/>
        </w:rPr>
        <w:t>.评价目的</w:t>
      </w:r>
      <w:bookmarkEnd w:id="14"/>
    </w:p>
    <w:p w14:paraId="24D3B852">
      <w:pPr>
        <w:spacing w:line="360" w:lineRule="auto"/>
        <w:ind w:firstLine="560"/>
        <w:rPr>
          <w:rFonts w:ascii="仿宋_GB2312"/>
          <w:b/>
          <w:bCs/>
        </w:rPr>
      </w:pPr>
      <w:r>
        <w:rPr>
          <w:rFonts w:hint="eastAsia" w:ascii="仿宋_GB2312"/>
          <w:highlight w:val="none"/>
        </w:rPr>
        <w:t>本项工作旨在落实《中共中央 国务院关于全面实施预算绩效管理的意见》（中发〔2018〕34号）文件精神，全面推进预算绩效管理工作，落实预算执行及绩效管理主体责任。具体而言包括以下两点：（1）通过对项目设立的背景、意义、项目内容、项目现状及绩效目标、资金投入、资金管理、组织实施、数量指标、质量指标、时效指标、成本指标和效益指标等进行深入调研和分析，进一步了解</w:t>
      </w:r>
      <w:r>
        <w:rPr>
          <w:rFonts w:hint="eastAsia" w:ascii="仿宋_GB2312"/>
          <w:highlight w:val="none"/>
          <w:lang w:eastAsia="zh-CN"/>
        </w:rPr>
        <w:t>保安人员经费</w:t>
      </w:r>
      <w:r>
        <w:rPr>
          <w:rFonts w:hint="eastAsia" w:ascii="仿宋_GB2312"/>
          <w:highlight w:val="none"/>
        </w:rPr>
        <w:t>项目实施情况，并考察项目实施过程和效果。（2）通过评价，客观公正反映项目立项科学性、项目管理规范性、项目实施</w:t>
      </w:r>
      <w:r>
        <w:rPr>
          <w:rFonts w:hint="eastAsia" w:ascii="仿宋_GB2312"/>
        </w:rPr>
        <w:t>有效性和项目效果，总结项目实施的经验，发现项目实施过程中存在的问题，提出合理化建议，为完善项目管理和相关部门决策提供参考依据，并提高财政资金使用效益。</w:t>
      </w:r>
    </w:p>
    <w:p w14:paraId="4D2A5187">
      <w:pPr>
        <w:pStyle w:val="4"/>
        <w:ind w:firstLine="643"/>
      </w:pPr>
      <w:bookmarkStart w:id="15" w:name="_Toc165277229"/>
      <w:r>
        <w:t>3</w:t>
      </w:r>
      <w:r>
        <w:rPr>
          <w:rFonts w:hint="eastAsia"/>
        </w:rPr>
        <w:t>.评价对象</w:t>
      </w:r>
      <w:bookmarkEnd w:id="15"/>
    </w:p>
    <w:p w14:paraId="308761D4">
      <w:pPr>
        <w:spacing w:line="360" w:lineRule="auto"/>
        <w:ind w:firstLine="560"/>
        <w:rPr>
          <w:rFonts w:hint="eastAsia" w:ascii="仿宋_GB2312" w:eastAsia="仿宋_GB2312"/>
          <w:lang w:eastAsia="zh-CN"/>
        </w:rPr>
      </w:pPr>
      <w:r>
        <w:rPr>
          <w:rFonts w:hint="eastAsia" w:ascii="仿宋_GB2312"/>
        </w:rPr>
        <w:t>（1）绩效评价的对象：乌鲁木齐市博物馆（乌鲁木齐市革命历史纪念地管理中心）</w:t>
      </w:r>
      <w:r>
        <w:rPr>
          <w:rFonts w:hint="eastAsia" w:ascii="仿宋_GB2312"/>
          <w:lang w:eastAsia="zh-CN"/>
        </w:rPr>
        <w:t>保安人员经费</w:t>
      </w:r>
      <w:r>
        <w:rPr>
          <w:rFonts w:hint="eastAsia" w:ascii="仿宋_GB2312"/>
        </w:rPr>
        <w:t>项目</w:t>
      </w:r>
      <w:r>
        <w:rPr>
          <w:rFonts w:ascii="仿宋_GB2312"/>
        </w:rPr>
        <w:t xml:space="preserve"> </w:t>
      </w:r>
      <w:r>
        <w:rPr>
          <w:rFonts w:hint="eastAsia" w:ascii="仿宋_GB2312"/>
          <w:lang w:eastAsia="zh-CN"/>
        </w:rPr>
        <w:t>。</w:t>
      </w:r>
    </w:p>
    <w:p w14:paraId="10AFB9E4">
      <w:pPr>
        <w:pStyle w:val="4"/>
        <w:ind w:firstLine="643"/>
      </w:pPr>
      <w:bookmarkStart w:id="16" w:name="_Toc165277230"/>
      <w:r>
        <w:rPr>
          <w:rFonts w:hint="eastAsia"/>
        </w:rPr>
        <w:t>4</w:t>
      </w:r>
      <w:r>
        <w:t>.</w:t>
      </w:r>
      <w:r>
        <w:rPr>
          <w:rFonts w:hint="eastAsia"/>
        </w:rPr>
        <w:t>绩效评价范围</w:t>
      </w:r>
      <w:bookmarkEnd w:id="16"/>
    </w:p>
    <w:p w14:paraId="5F868433">
      <w:pPr>
        <w:spacing w:line="360" w:lineRule="auto"/>
        <w:ind w:firstLine="560"/>
        <w:rPr>
          <w:rFonts w:ascii="仿宋_GB2312"/>
        </w:rPr>
      </w:pPr>
      <w:r>
        <w:rPr>
          <w:rFonts w:ascii="仿宋_GB2312"/>
        </w:rPr>
        <w:t>1.</w:t>
      </w:r>
      <w:r>
        <w:rPr>
          <w:rFonts w:hint="eastAsia" w:ascii="仿宋_GB2312"/>
        </w:rPr>
        <w:t>时间范围：2</w:t>
      </w:r>
      <w:r>
        <w:rPr>
          <w:rFonts w:ascii="仿宋_GB2312"/>
        </w:rPr>
        <w:t>023</w:t>
      </w:r>
      <w:r>
        <w:rPr>
          <w:rFonts w:hint="eastAsia" w:ascii="仿宋_GB2312"/>
        </w:rPr>
        <w:t>年1月1日至2</w:t>
      </w:r>
      <w:r>
        <w:rPr>
          <w:rFonts w:ascii="仿宋_GB2312"/>
        </w:rPr>
        <w:t>023</w:t>
      </w:r>
      <w:r>
        <w:rPr>
          <w:rFonts w:hint="eastAsia" w:ascii="仿宋_GB2312"/>
        </w:rPr>
        <w:t>年1</w:t>
      </w:r>
      <w:r>
        <w:rPr>
          <w:rFonts w:ascii="仿宋_GB2312"/>
        </w:rPr>
        <w:t>2</w:t>
      </w:r>
      <w:r>
        <w:rPr>
          <w:rFonts w:hint="eastAsia" w:ascii="仿宋_GB2312"/>
        </w:rPr>
        <w:t>月3</w:t>
      </w:r>
      <w:r>
        <w:rPr>
          <w:rFonts w:ascii="仿宋_GB2312"/>
        </w:rPr>
        <w:t>1</w:t>
      </w:r>
      <w:r>
        <w:rPr>
          <w:rFonts w:hint="eastAsia" w:ascii="仿宋_GB2312"/>
        </w:rPr>
        <w:t>日。</w:t>
      </w:r>
    </w:p>
    <w:p w14:paraId="4842E7D6">
      <w:pPr>
        <w:spacing w:line="360" w:lineRule="auto"/>
        <w:ind w:firstLine="560"/>
        <w:rPr>
          <w:rFonts w:ascii="仿宋_GB2312"/>
          <w:highlight w:val="none"/>
        </w:rPr>
      </w:pPr>
      <w:r>
        <w:rPr>
          <w:rFonts w:ascii="仿宋_GB2312"/>
        </w:rPr>
        <w:t>2.</w:t>
      </w:r>
      <w:r>
        <w:rPr>
          <w:rFonts w:hint="eastAsia" w:ascii="仿宋_GB2312"/>
        </w:rPr>
        <w:t>项目范围：</w:t>
      </w:r>
      <w:r>
        <w:rPr>
          <w:rFonts w:hint="eastAsia" w:ascii="仿宋_GB2312"/>
          <w:highlight w:val="none"/>
          <w:lang w:eastAsia="zh-CN"/>
        </w:rPr>
        <w:t>保安人员经费项目</w:t>
      </w:r>
      <w:r>
        <w:rPr>
          <w:rFonts w:hint="eastAsia" w:ascii="仿宋_GB2312"/>
          <w:highlight w:val="none"/>
        </w:rPr>
        <w:t>的基本情况</w:t>
      </w:r>
      <w:r>
        <w:rPr>
          <w:rFonts w:hint="eastAsia" w:ascii="仿宋_GB2312"/>
          <w:highlight w:val="none"/>
          <w:lang w:val="en-US" w:eastAsia="zh-CN"/>
        </w:rPr>
        <w:t>主要支付保安工资</w:t>
      </w:r>
      <w:r>
        <w:rPr>
          <w:rFonts w:hint="eastAsia" w:ascii="仿宋_GB2312"/>
          <w:highlight w:val="none"/>
          <w:lang w:eastAsia="zh-CN"/>
        </w:rPr>
        <w:t>；</w:t>
      </w:r>
      <w:r>
        <w:rPr>
          <w:rFonts w:hint="eastAsia" w:ascii="仿宋_GB2312"/>
          <w:highlight w:val="none"/>
        </w:rPr>
        <w:t>评价工作</w:t>
      </w:r>
      <w:r>
        <w:rPr>
          <w:rFonts w:hint="eastAsia" w:ascii="仿宋_GB2312"/>
          <w:highlight w:val="none"/>
          <w:lang w:val="en-US" w:eastAsia="zh-CN"/>
        </w:rPr>
        <w:t>顺利展开</w:t>
      </w:r>
      <w:r>
        <w:rPr>
          <w:rFonts w:hint="eastAsia" w:ascii="仿宋_GB2312"/>
          <w:highlight w:val="none"/>
          <w:lang w:eastAsia="zh-CN"/>
        </w:rPr>
        <w:t>；</w:t>
      </w:r>
      <w:r>
        <w:rPr>
          <w:rFonts w:hint="eastAsia" w:ascii="仿宋_GB2312"/>
          <w:highlight w:val="none"/>
        </w:rPr>
        <w:t>项目实现的产出情况</w:t>
      </w:r>
      <w:r>
        <w:rPr>
          <w:rFonts w:hint="eastAsia" w:ascii="仿宋_GB2312"/>
          <w:highlight w:val="none"/>
          <w:lang w:eastAsia="zh-CN"/>
        </w:rPr>
        <w:t>：</w:t>
      </w:r>
      <w:r>
        <w:rPr>
          <w:rFonts w:hint="eastAsia" w:ascii="仿宋_GB2312"/>
          <w:bCs/>
          <w:szCs w:val="28"/>
          <w:highlight w:val="none"/>
        </w:rPr>
        <w:t>聘用保安岗位数</w:t>
      </w:r>
      <w:r>
        <w:rPr>
          <w:rFonts w:hint="eastAsia" w:ascii="仿宋_GB2312"/>
          <w:bCs/>
          <w:szCs w:val="28"/>
          <w:highlight w:val="none"/>
          <w:lang w:val="en-US" w:eastAsia="zh-CN"/>
        </w:rPr>
        <w:t>34</w:t>
      </w:r>
      <w:r>
        <w:rPr>
          <w:rFonts w:hint="eastAsia" w:ascii="仿宋_GB2312"/>
          <w:bCs/>
          <w:szCs w:val="28"/>
          <w:highlight w:val="none"/>
          <w:lang w:eastAsia="zh-CN"/>
        </w:rPr>
        <w:t>岗、</w:t>
      </w:r>
      <w:r>
        <w:rPr>
          <w:rFonts w:hint="eastAsia" w:ascii="仿宋_GB2312"/>
          <w:bCs/>
          <w:szCs w:val="28"/>
          <w:highlight w:val="none"/>
          <w:lang w:val="en-US" w:eastAsia="zh-CN"/>
        </w:rPr>
        <w:t>安保演练次数10次、全年工作时间365天</w:t>
      </w:r>
      <w:r>
        <w:rPr>
          <w:rFonts w:hint="eastAsia" w:ascii="仿宋_GB2312"/>
          <w:highlight w:val="none"/>
          <w:lang w:eastAsia="zh-CN"/>
        </w:rPr>
        <w:t>；</w:t>
      </w:r>
      <w:r>
        <w:rPr>
          <w:rFonts w:hint="eastAsia" w:ascii="仿宋_GB2312"/>
          <w:highlight w:val="none"/>
        </w:rPr>
        <w:t>效益情况</w:t>
      </w:r>
      <w:r>
        <w:rPr>
          <w:rFonts w:hint="eastAsia" w:ascii="仿宋_GB2312"/>
          <w:highlight w:val="none"/>
          <w:lang w:eastAsia="zh-CN"/>
        </w:rPr>
        <w:t>：</w:t>
      </w:r>
      <w:r>
        <w:rPr>
          <w:rFonts w:hint="eastAsia" w:ascii="仿宋_GB2312"/>
          <w:highlight w:val="none"/>
        </w:rPr>
        <w:t>做好公共文化对外服务场所安全防范工作，确保文物自身安全</w:t>
      </w:r>
      <w:r>
        <w:rPr>
          <w:rFonts w:hint="eastAsia" w:ascii="仿宋_GB2312"/>
          <w:highlight w:val="none"/>
          <w:lang w:eastAsia="zh-CN"/>
        </w:rPr>
        <w:t>；</w:t>
      </w:r>
      <w:r>
        <w:rPr>
          <w:rFonts w:hint="eastAsia" w:ascii="仿宋_GB2312"/>
          <w:highlight w:val="none"/>
        </w:rPr>
        <w:t>主要经验及做法</w:t>
      </w:r>
      <w:r>
        <w:rPr>
          <w:rFonts w:hint="eastAsia" w:ascii="仿宋_GB2312"/>
          <w:highlight w:val="none"/>
          <w:lang w:eastAsia="zh-CN"/>
        </w:rPr>
        <w:t>：落实主体责任、</w:t>
      </w:r>
      <w:r>
        <w:rPr>
          <w:rFonts w:hint="eastAsia" w:ascii="仿宋_GB2312"/>
          <w:highlight w:val="none"/>
          <w:lang w:val="en-US" w:eastAsia="zh-CN"/>
        </w:rPr>
        <w:t>加强人员培训；</w:t>
      </w:r>
      <w:r>
        <w:rPr>
          <w:rFonts w:hint="eastAsia" w:ascii="仿宋_GB2312"/>
          <w:highlight w:val="none"/>
        </w:rPr>
        <w:t>存在的问题及原因分析</w:t>
      </w:r>
      <w:r>
        <w:rPr>
          <w:rFonts w:hint="eastAsia" w:ascii="仿宋_GB2312"/>
          <w:highlight w:val="none"/>
          <w:lang w:eastAsia="zh-CN"/>
        </w:rPr>
        <w:t>：</w:t>
      </w:r>
      <w:r>
        <w:rPr>
          <w:rFonts w:hint="eastAsia" w:ascii="仿宋_GB2312"/>
          <w:highlight w:val="none"/>
          <w:lang w:val="en-US" w:eastAsia="zh-CN"/>
        </w:rPr>
        <w:t>人才不足，加强对绩效工作的认识程度；</w:t>
      </w:r>
      <w:r>
        <w:rPr>
          <w:rFonts w:hint="eastAsia" w:ascii="仿宋_GB2312"/>
          <w:highlight w:val="none"/>
        </w:rPr>
        <w:t>以及综合性价结论</w:t>
      </w:r>
      <w:r>
        <w:rPr>
          <w:rFonts w:hint="eastAsia" w:ascii="仿宋_GB2312"/>
          <w:highlight w:val="none"/>
          <w:lang w:eastAsia="zh-CN"/>
        </w:rPr>
        <w:t>：</w:t>
      </w:r>
      <w:r>
        <w:rPr>
          <w:rFonts w:hint="eastAsia" w:ascii="仿宋_GB2312"/>
          <w:highlight w:val="none"/>
          <w:lang w:val="en-US" w:eastAsia="zh-CN"/>
        </w:rPr>
        <w:t>预算绩效和平台的建议</w:t>
      </w:r>
      <w:r>
        <w:rPr>
          <w:rFonts w:hint="eastAsia" w:ascii="仿宋_GB2312"/>
          <w:highlight w:val="none"/>
        </w:rPr>
        <w:t>等。</w:t>
      </w:r>
    </w:p>
    <w:p w14:paraId="285AF971">
      <w:pPr>
        <w:pStyle w:val="3"/>
        <w:ind w:firstLine="643"/>
        <w:rPr>
          <w:rFonts w:ascii="仿宋" w:hAnsi="仿宋" w:eastAsia="仿宋"/>
          <w:lang w:bidi="en-US"/>
        </w:rPr>
      </w:pPr>
      <w:bookmarkStart w:id="17" w:name="_Toc165277231"/>
      <w:bookmarkStart w:id="18" w:name="_Toc67911606"/>
      <w:bookmarkStart w:id="19" w:name="_Hlk67586765"/>
      <w:r>
        <w:rPr>
          <w:rFonts w:hint="eastAsia" w:ascii="仿宋" w:hAnsi="仿宋" w:eastAsia="仿宋"/>
          <w:lang w:bidi="en-US"/>
        </w:rPr>
        <w:t>（二）绩效评价原则、指标体系、方法及标准</w:t>
      </w:r>
      <w:bookmarkEnd w:id="17"/>
      <w:bookmarkEnd w:id="18"/>
    </w:p>
    <w:bookmarkEnd w:id="19"/>
    <w:p w14:paraId="65173A7A">
      <w:pPr>
        <w:pStyle w:val="4"/>
        <w:ind w:firstLine="643"/>
      </w:pPr>
      <w:bookmarkStart w:id="20" w:name="_Toc165277232"/>
      <w:r>
        <w:rPr>
          <w:rFonts w:hint="eastAsia"/>
        </w:rPr>
        <w:t>1</w:t>
      </w:r>
      <w:r>
        <w:t>.</w:t>
      </w:r>
      <w:r>
        <w:rPr>
          <w:rFonts w:hint="eastAsia"/>
        </w:rPr>
        <w:t>评价原则</w:t>
      </w:r>
      <w:bookmarkEnd w:id="20"/>
    </w:p>
    <w:p w14:paraId="5D73F4C0">
      <w:pPr>
        <w:spacing w:line="600" w:lineRule="exact"/>
        <w:ind w:firstLine="640"/>
        <w:rPr>
          <w:rFonts w:ascii="仿宋_GB2312"/>
          <w:bCs/>
          <w:sz w:val="32"/>
          <w:szCs w:val="32"/>
        </w:rPr>
      </w:pPr>
      <w:r>
        <w:rPr>
          <w:rFonts w:hint="eastAsia" w:ascii="仿宋_GB2312"/>
          <w:bCs/>
          <w:sz w:val="32"/>
          <w:szCs w:val="32"/>
        </w:rPr>
        <w:t>（一）科学公正。绩效评价应当运用科学合理的方法，按照规范的程序，对项目绩效进行客观、公正的反映。</w:t>
      </w:r>
    </w:p>
    <w:p w14:paraId="415FBB4B">
      <w:pPr>
        <w:spacing w:line="600" w:lineRule="exact"/>
        <w:ind w:firstLine="640"/>
        <w:rPr>
          <w:rFonts w:ascii="仿宋_GB2312"/>
          <w:bCs/>
          <w:sz w:val="32"/>
          <w:szCs w:val="32"/>
        </w:rPr>
      </w:pPr>
      <w:r>
        <w:rPr>
          <w:rFonts w:hint="eastAsia" w:ascii="仿宋_GB2312"/>
          <w:bCs/>
          <w:sz w:val="32"/>
          <w:szCs w:val="32"/>
        </w:rPr>
        <w:t>（二）统筹兼顾。单位自评、部门评价和财政评价应职责明确，各有侧重，相互衔接。单位自评应由项目单位自主实施，即“谁支出、谁自评”。部门评价和财政评价应在单位自评的基础上开展，必要时可委托第三方机构实施。</w:t>
      </w:r>
    </w:p>
    <w:p w14:paraId="7E121D69">
      <w:pPr>
        <w:spacing w:line="600" w:lineRule="exact"/>
        <w:ind w:firstLine="640"/>
        <w:rPr>
          <w:rFonts w:ascii="仿宋_GB2312"/>
          <w:bCs/>
          <w:sz w:val="32"/>
          <w:szCs w:val="32"/>
        </w:rPr>
      </w:pPr>
      <w:r>
        <w:rPr>
          <w:rFonts w:hint="eastAsia" w:ascii="仿宋_GB2312"/>
          <w:bCs/>
          <w:sz w:val="32"/>
          <w:szCs w:val="32"/>
        </w:rPr>
        <w:t>（三）激励约束。绩效评价结果应与预算安排、政策调整、改进管理实质性挂钩，体现奖优罚劣和激励相容导向，有效要安排、低效要压减、无效要问责。</w:t>
      </w:r>
    </w:p>
    <w:p w14:paraId="677A1F4D">
      <w:pPr>
        <w:spacing w:line="600" w:lineRule="exact"/>
        <w:ind w:firstLine="640"/>
        <w:rPr>
          <w:rFonts w:ascii="仿宋_GB2312"/>
          <w:bCs/>
          <w:sz w:val="32"/>
          <w:szCs w:val="32"/>
        </w:rPr>
      </w:pPr>
      <w:r>
        <w:rPr>
          <w:rFonts w:hint="eastAsia" w:ascii="仿宋_GB2312"/>
          <w:bCs/>
          <w:sz w:val="32"/>
          <w:szCs w:val="32"/>
        </w:rPr>
        <w:t>（四）公开透明。绩效评价结果应依法依规公开，并自觉接受社会监督。</w:t>
      </w:r>
    </w:p>
    <w:p w14:paraId="41B295E4">
      <w:pPr>
        <w:pStyle w:val="4"/>
        <w:ind w:firstLine="643"/>
      </w:pPr>
      <w:bookmarkStart w:id="21" w:name="_Toc165277233"/>
      <w:r>
        <w:t>2.</w:t>
      </w:r>
      <w:r>
        <w:rPr>
          <w:rFonts w:hint="eastAsia"/>
        </w:rPr>
        <w:t>评价指标体系</w:t>
      </w:r>
      <w:bookmarkEnd w:id="21"/>
    </w:p>
    <w:p w14:paraId="5782253E">
      <w:pPr>
        <w:spacing w:line="360" w:lineRule="auto"/>
        <w:ind w:firstLine="560"/>
        <w:rPr>
          <w:rFonts w:ascii="仿宋_GB2312"/>
        </w:rPr>
      </w:pPr>
      <w:r>
        <w:rPr>
          <w:rFonts w:hint="eastAsia" w:ascii="仿宋_GB2312"/>
        </w:rPr>
        <w:t>绩效评价指标体系作为衡量绩效目标实现程度的考核工具，一般遵循以下原则：</w:t>
      </w:r>
    </w:p>
    <w:p w14:paraId="72ADA6D3">
      <w:pPr>
        <w:spacing w:line="360" w:lineRule="auto"/>
        <w:ind w:firstLine="560"/>
        <w:rPr>
          <w:rFonts w:ascii="仿宋_GB2312"/>
        </w:rPr>
      </w:pPr>
      <w:r>
        <w:rPr>
          <w:rFonts w:hint="eastAsia" w:ascii="仿宋_GB2312"/>
        </w:rPr>
        <w:t>（1）相关性原则：绩效评价指标应当与绩效目标有直接的联系，能够恰当反映目标的实现程度。</w:t>
      </w:r>
    </w:p>
    <w:p w14:paraId="7FFD673C">
      <w:pPr>
        <w:spacing w:line="360" w:lineRule="auto"/>
        <w:ind w:firstLine="560"/>
        <w:rPr>
          <w:rFonts w:ascii="仿宋_GB2312"/>
        </w:rPr>
      </w:pPr>
      <w:r>
        <w:rPr>
          <w:rFonts w:hint="eastAsia" w:ascii="仿宋_GB2312"/>
        </w:rPr>
        <w:t>（2）重要性原则：应当优先使用最具评价对象代表性、最能反映评价要求的核心指标。</w:t>
      </w:r>
    </w:p>
    <w:p w14:paraId="5840BBAC">
      <w:pPr>
        <w:spacing w:line="360" w:lineRule="auto"/>
        <w:ind w:firstLine="560"/>
        <w:rPr>
          <w:rFonts w:ascii="仿宋_GB2312"/>
        </w:rPr>
      </w:pPr>
      <w:r>
        <w:rPr>
          <w:rFonts w:hint="eastAsia" w:ascii="仿宋_GB2312"/>
        </w:rPr>
        <w:t>（3）可比性原则：对同类评价对象要设定共性的绩效评价指标，以便于评价结果可以相互比较。</w:t>
      </w:r>
    </w:p>
    <w:p w14:paraId="474B2474">
      <w:pPr>
        <w:spacing w:line="360" w:lineRule="auto"/>
        <w:ind w:firstLine="560"/>
        <w:rPr>
          <w:rFonts w:ascii="仿宋_GB2312"/>
        </w:rPr>
      </w:pPr>
      <w:r>
        <w:rPr>
          <w:rFonts w:hint="eastAsia" w:ascii="仿宋_GB2312"/>
        </w:rPr>
        <w:t>（4）系统性原则：绩效评价指标的设置应当将定量指标与定性指标相结合，能系统反映财政支出所产生的社会效益、经济效益和可持续影响等。</w:t>
      </w:r>
    </w:p>
    <w:p w14:paraId="07E100DA">
      <w:pPr>
        <w:spacing w:line="360" w:lineRule="auto"/>
        <w:ind w:firstLine="560"/>
        <w:rPr>
          <w:rFonts w:ascii="仿宋_GB2312"/>
        </w:rPr>
      </w:pPr>
      <w:r>
        <w:rPr>
          <w:rFonts w:hint="eastAsia" w:ascii="仿宋_GB2312"/>
        </w:rPr>
        <w:t>（5）经济性原则：绩效评价指标设计应当通俗易懂、简便易行，数据的获得应当考虑现实条件和可操作性，符合成本效益原则。</w:t>
      </w:r>
    </w:p>
    <w:p w14:paraId="5262748E">
      <w:pPr>
        <w:spacing w:line="360" w:lineRule="auto"/>
        <w:ind w:firstLine="560"/>
        <w:rPr>
          <w:rFonts w:ascii="仿宋_GB2312"/>
          <w:highlight w:val="none"/>
        </w:rPr>
      </w:pPr>
      <w:r>
        <w:rPr>
          <w:rFonts w:hint="eastAsia" w:ascii="仿宋_GB2312"/>
          <w:highlight w:val="none"/>
        </w:rPr>
        <w:t>本项目的评价指标体系建立如下表所示。</w:t>
      </w:r>
    </w:p>
    <w:p w14:paraId="3E6AED94">
      <w:pPr>
        <w:spacing w:line="360" w:lineRule="auto"/>
        <w:ind w:firstLine="560"/>
        <w:rPr>
          <w:rFonts w:ascii="仿宋_GB2312"/>
        </w:rPr>
      </w:pPr>
    </w:p>
    <w:p w14:paraId="5B1317C9">
      <w:pPr>
        <w:spacing w:line="360" w:lineRule="auto"/>
        <w:ind w:firstLine="560"/>
        <w:rPr>
          <w:rFonts w:ascii="仿宋_GB2312"/>
        </w:rPr>
      </w:pPr>
    </w:p>
    <w:p w14:paraId="1A74292B">
      <w:pPr>
        <w:spacing w:line="360" w:lineRule="auto"/>
        <w:ind w:firstLine="560"/>
        <w:rPr>
          <w:rFonts w:ascii="仿宋_GB2312"/>
        </w:rPr>
        <w:sectPr>
          <w:headerReference r:id="rId11" w:type="default"/>
          <w:footerReference r:id="rId12" w:type="default"/>
          <w:footnotePr>
            <w:numFmt w:val="decimalEnclosedCircleChinese"/>
          </w:footnotePr>
          <w:pgSz w:w="11906" w:h="16838"/>
          <w:pgMar w:top="1440" w:right="1800" w:bottom="1440" w:left="1800" w:header="992" w:footer="992" w:gutter="0"/>
          <w:pgNumType w:start="1"/>
          <w:cols w:space="425" w:num="1"/>
          <w:docGrid w:type="lines" w:linePitch="381" w:charSpace="0"/>
        </w:sectPr>
      </w:pPr>
    </w:p>
    <w:p w14:paraId="054E9050">
      <w:pPr>
        <w:spacing w:line="360" w:lineRule="auto"/>
        <w:ind w:firstLine="0" w:firstLineChars="0"/>
        <w:jc w:val="center"/>
        <w:rPr>
          <w:rFonts w:ascii="仿宋_GB2312"/>
          <w:b/>
          <w:bCs/>
        </w:rPr>
      </w:pPr>
      <w:r>
        <w:rPr>
          <w:rFonts w:ascii="仿宋_GB2312"/>
          <w:b/>
          <w:bCs/>
        </w:rPr>
        <w:t xml:space="preserve">  </w:t>
      </w:r>
      <w:r>
        <w:rPr>
          <w:rFonts w:hint="eastAsia" w:ascii="仿宋_GB2312"/>
          <w:b/>
          <w:bCs/>
        </w:rPr>
        <w:t>项目支出绩效评价指标体系</w:t>
      </w:r>
    </w:p>
    <w:tbl>
      <w:tblPr>
        <w:tblStyle w:val="15"/>
        <w:tblW w:w="0" w:type="auto"/>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155"/>
        <w:gridCol w:w="1199"/>
        <w:gridCol w:w="1411"/>
        <w:gridCol w:w="2789"/>
        <w:gridCol w:w="7341"/>
      </w:tblGrid>
      <w:tr w14:paraId="070E2FF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92" w:hRule="atLeast"/>
          <w:tblHeader/>
          <w:jc w:val="center"/>
        </w:trPr>
        <w:tc>
          <w:tcPr>
            <w:tcW w:w="1155" w:type="dxa"/>
            <w:tcBorders>
              <w:tl2br w:val="nil"/>
              <w:tr2bl w:val="nil"/>
            </w:tcBorders>
            <w:shd w:val="clear" w:color="auto" w:fill="D0CECE" w:themeFill="background2" w:themeFillShade="E6"/>
            <w:vAlign w:val="center"/>
          </w:tcPr>
          <w:p w14:paraId="3CA6AFA1">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一级指标</w:t>
            </w:r>
          </w:p>
        </w:tc>
        <w:tc>
          <w:tcPr>
            <w:tcW w:w="1199" w:type="dxa"/>
            <w:tcBorders>
              <w:tl2br w:val="nil"/>
              <w:tr2bl w:val="nil"/>
            </w:tcBorders>
            <w:shd w:val="clear" w:color="auto" w:fill="D0CECE" w:themeFill="background2" w:themeFillShade="E6"/>
            <w:vAlign w:val="center"/>
          </w:tcPr>
          <w:p w14:paraId="13D3AFD2">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二级指标</w:t>
            </w:r>
          </w:p>
        </w:tc>
        <w:tc>
          <w:tcPr>
            <w:tcW w:w="1411" w:type="dxa"/>
            <w:tcBorders>
              <w:tl2br w:val="nil"/>
              <w:tr2bl w:val="nil"/>
            </w:tcBorders>
            <w:shd w:val="clear" w:color="auto" w:fill="D0CECE" w:themeFill="background2" w:themeFillShade="E6"/>
            <w:vAlign w:val="center"/>
          </w:tcPr>
          <w:p w14:paraId="6C3768E1">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三级指标</w:t>
            </w:r>
          </w:p>
        </w:tc>
        <w:tc>
          <w:tcPr>
            <w:tcW w:w="2789" w:type="dxa"/>
            <w:tcBorders>
              <w:tl2br w:val="nil"/>
              <w:tr2bl w:val="nil"/>
            </w:tcBorders>
            <w:shd w:val="clear" w:color="auto" w:fill="D0CECE" w:themeFill="background2" w:themeFillShade="E6"/>
            <w:vAlign w:val="center"/>
          </w:tcPr>
          <w:p w14:paraId="7F69E65D">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指标解释</w:t>
            </w:r>
          </w:p>
        </w:tc>
        <w:tc>
          <w:tcPr>
            <w:tcW w:w="7341" w:type="dxa"/>
            <w:tcBorders>
              <w:tl2br w:val="nil"/>
              <w:tr2bl w:val="nil"/>
            </w:tcBorders>
            <w:shd w:val="clear" w:color="auto" w:fill="D0CECE" w:themeFill="background2" w:themeFillShade="E6"/>
            <w:vAlign w:val="center"/>
          </w:tcPr>
          <w:p w14:paraId="72B0E572">
            <w:pPr>
              <w:widowControl/>
              <w:ind w:firstLine="0" w:firstLineChars="0"/>
              <w:jc w:val="center"/>
              <w:rPr>
                <w:rFonts w:ascii="宋体" w:hAnsi="宋体" w:eastAsia="宋体" w:cs="宋体"/>
                <w:b/>
                <w:bCs/>
                <w:color w:val="000000"/>
                <w:kern w:val="0"/>
                <w:sz w:val="22"/>
              </w:rPr>
            </w:pPr>
            <w:r>
              <w:rPr>
                <w:rFonts w:hint="eastAsia" w:ascii="宋体" w:hAnsi="宋体" w:eastAsia="宋体" w:cs="宋体"/>
                <w:b/>
                <w:bCs/>
                <w:color w:val="000000"/>
                <w:kern w:val="0"/>
                <w:sz w:val="22"/>
              </w:rPr>
              <w:t>指标说明</w:t>
            </w:r>
          </w:p>
        </w:tc>
      </w:tr>
      <w:tr w14:paraId="08701B33">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318" w:hRule="atLeast"/>
          <w:jc w:val="center"/>
        </w:trPr>
        <w:tc>
          <w:tcPr>
            <w:tcW w:w="1155" w:type="dxa"/>
            <w:vMerge w:val="restart"/>
            <w:tcBorders>
              <w:tl2br w:val="nil"/>
              <w:tr2bl w:val="nil"/>
            </w:tcBorders>
            <w:shd w:val="clear" w:color="auto" w:fill="FFFFFF"/>
            <w:vAlign w:val="center"/>
          </w:tcPr>
          <w:p w14:paraId="27F5CF51">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决策</w:t>
            </w:r>
          </w:p>
        </w:tc>
        <w:tc>
          <w:tcPr>
            <w:tcW w:w="1199" w:type="dxa"/>
            <w:vMerge w:val="restart"/>
            <w:tcBorders>
              <w:tl2br w:val="nil"/>
              <w:tr2bl w:val="nil"/>
            </w:tcBorders>
            <w:shd w:val="clear" w:color="auto" w:fill="FFFFFF"/>
            <w:vAlign w:val="center"/>
          </w:tcPr>
          <w:p w14:paraId="7AEEF661">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项目立项</w:t>
            </w:r>
          </w:p>
        </w:tc>
        <w:tc>
          <w:tcPr>
            <w:tcW w:w="1411" w:type="dxa"/>
            <w:tcBorders>
              <w:tl2br w:val="nil"/>
              <w:tr2bl w:val="nil"/>
            </w:tcBorders>
            <w:shd w:val="clear" w:color="auto" w:fill="FFFFFF"/>
            <w:vAlign w:val="center"/>
          </w:tcPr>
          <w:p w14:paraId="1637E6CC">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立项依据</w:t>
            </w:r>
          </w:p>
          <w:p w14:paraId="315EA5F8">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充分性</w:t>
            </w:r>
          </w:p>
        </w:tc>
        <w:tc>
          <w:tcPr>
            <w:tcW w:w="2789" w:type="dxa"/>
            <w:tcBorders>
              <w:tl2br w:val="nil"/>
              <w:tr2bl w:val="nil"/>
            </w:tcBorders>
            <w:shd w:val="clear" w:color="auto" w:fill="FFFFFF"/>
            <w:vAlign w:val="center"/>
          </w:tcPr>
          <w:p w14:paraId="66B6D650">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项目立项是否符合法律法规、相关政策、发展规划以及部门职责，用以反映和考核项目立项依据情况。</w:t>
            </w:r>
          </w:p>
        </w:tc>
        <w:tc>
          <w:tcPr>
            <w:tcW w:w="7341" w:type="dxa"/>
            <w:tcBorders>
              <w:tl2br w:val="nil"/>
              <w:tr2bl w:val="nil"/>
            </w:tcBorders>
            <w:shd w:val="clear" w:color="auto" w:fill="FFFFFF"/>
            <w:vAlign w:val="center"/>
          </w:tcPr>
          <w:p w14:paraId="418B5DB6">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评价要点：</w:t>
            </w:r>
          </w:p>
          <w:p w14:paraId="6BB389A9">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①项目立项是否符合国家法律法规、国民经济发展规划和相关政策；</w:t>
            </w:r>
          </w:p>
          <w:p w14:paraId="2DF7079F">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②项目立项是否符合行业发展规划和政策要求；</w:t>
            </w:r>
          </w:p>
          <w:p w14:paraId="5355FF8C">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③项目立项是否与部门职责范围相符，属于部门履职所需；</w:t>
            </w:r>
          </w:p>
          <w:p w14:paraId="4213439C">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④项目是否属于公共财政支持范围，是否符合中央、地方事权支出责任划分原则；</w:t>
            </w:r>
          </w:p>
          <w:p w14:paraId="524A0A63">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⑤项目是否与相关部门同类项目或部门内部相关项目重复。</w:t>
            </w:r>
          </w:p>
        </w:tc>
      </w:tr>
      <w:tr w14:paraId="50DF9CC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640" w:hRule="atLeast"/>
          <w:jc w:val="center"/>
        </w:trPr>
        <w:tc>
          <w:tcPr>
            <w:tcW w:w="1155" w:type="dxa"/>
            <w:vMerge w:val="continue"/>
            <w:tcBorders>
              <w:tl2br w:val="nil"/>
              <w:tr2bl w:val="nil"/>
            </w:tcBorders>
            <w:shd w:val="clear" w:color="auto" w:fill="FFFFFF"/>
            <w:vAlign w:val="center"/>
          </w:tcPr>
          <w:p w14:paraId="714755DB">
            <w:pPr>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14:paraId="5A81E008">
            <w:pPr>
              <w:widowControl/>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vAlign w:val="center"/>
          </w:tcPr>
          <w:p w14:paraId="1E1C14B9">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立项程序</w:t>
            </w:r>
          </w:p>
          <w:p w14:paraId="25A1B7E7">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规范性</w:t>
            </w:r>
          </w:p>
        </w:tc>
        <w:tc>
          <w:tcPr>
            <w:tcW w:w="2789" w:type="dxa"/>
            <w:tcBorders>
              <w:tl2br w:val="nil"/>
              <w:tr2bl w:val="nil"/>
            </w:tcBorders>
            <w:shd w:val="clear" w:color="auto" w:fill="FFFFFF"/>
            <w:vAlign w:val="center"/>
          </w:tcPr>
          <w:p w14:paraId="7B5027E5">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项目申请、设立过程是否符合相关要求，用以反映和考核项目立项的规范情况。</w:t>
            </w:r>
          </w:p>
        </w:tc>
        <w:tc>
          <w:tcPr>
            <w:tcW w:w="7341" w:type="dxa"/>
            <w:tcBorders>
              <w:tl2br w:val="nil"/>
              <w:tr2bl w:val="nil"/>
            </w:tcBorders>
            <w:shd w:val="clear" w:color="auto" w:fill="FFFFFF"/>
            <w:vAlign w:val="center"/>
          </w:tcPr>
          <w:p w14:paraId="1FAFE002">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评价要点：</w:t>
            </w:r>
          </w:p>
          <w:p w14:paraId="6C09C16C">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①项目是否按照规定的程序申请设立；</w:t>
            </w:r>
          </w:p>
          <w:p w14:paraId="40E63CB3">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②审批文件、材料是否符合相关要求；</w:t>
            </w:r>
          </w:p>
          <w:p w14:paraId="64AD3D1B">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③事前是否已经过必要的可行性研究、专家论证、风险评估、绩效评估、集体决策。</w:t>
            </w:r>
          </w:p>
        </w:tc>
      </w:tr>
      <w:tr w14:paraId="3C04609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19" w:hRule="atLeast"/>
          <w:jc w:val="center"/>
        </w:trPr>
        <w:tc>
          <w:tcPr>
            <w:tcW w:w="1155" w:type="dxa"/>
            <w:vMerge w:val="continue"/>
            <w:tcBorders>
              <w:tl2br w:val="nil"/>
              <w:tr2bl w:val="nil"/>
            </w:tcBorders>
            <w:shd w:val="clear" w:color="auto" w:fill="FFFFFF"/>
            <w:vAlign w:val="center"/>
          </w:tcPr>
          <w:p w14:paraId="32AF312E">
            <w:pPr>
              <w:ind w:firstLine="0" w:firstLineChars="0"/>
              <w:jc w:val="center"/>
              <w:rPr>
                <w:rFonts w:ascii="宋体" w:hAnsi="宋体" w:eastAsia="宋体" w:cs="宋体"/>
                <w:color w:val="000000"/>
                <w:kern w:val="0"/>
                <w:sz w:val="22"/>
              </w:rPr>
            </w:pPr>
          </w:p>
        </w:tc>
        <w:tc>
          <w:tcPr>
            <w:tcW w:w="1199" w:type="dxa"/>
            <w:tcBorders>
              <w:tl2br w:val="nil"/>
              <w:tr2bl w:val="nil"/>
            </w:tcBorders>
            <w:shd w:val="clear" w:color="auto" w:fill="FFFFFF"/>
            <w:vAlign w:val="center"/>
          </w:tcPr>
          <w:p w14:paraId="1D847F53">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tc>
        <w:tc>
          <w:tcPr>
            <w:tcW w:w="1411" w:type="dxa"/>
            <w:tcBorders>
              <w:tl2br w:val="nil"/>
              <w:tr2bl w:val="nil"/>
            </w:tcBorders>
            <w:shd w:val="clear" w:color="auto" w:fill="FFFFFF"/>
            <w:vAlign w:val="center"/>
          </w:tcPr>
          <w:p w14:paraId="0AB95F41">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p w14:paraId="3D37CBC0">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合理性</w:t>
            </w:r>
          </w:p>
        </w:tc>
        <w:tc>
          <w:tcPr>
            <w:tcW w:w="2789" w:type="dxa"/>
            <w:tcBorders>
              <w:tl2br w:val="nil"/>
              <w:tr2bl w:val="nil"/>
            </w:tcBorders>
            <w:shd w:val="clear" w:color="000000" w:fill="FFFFFF"/>
            <w:vAlign w:val="center"/>
          </w:tcPr>
          <w:p w14:paraId="60BE6977">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项目所设定的绩效目标是否依据充分，是否符合客观实际，用以反映和考核项目绩效目标与项目实施的相符情况。</w:t>
            </w:r>
          </w:p>
        </w:tc>
        <w:tc>
          <w:tcPr>
            <w:tcW w:w="7341" w:type="dxa"/>
            <w:tcBorders>
              <w:tl2br w:val="nil"/>
              <w:tr2bl w:val="nil"/>
            </w:tcBorders>
            <w:shd w:val="clear" w:color="000000" w:fill="FFFFFF"/>
            <w:vAlign w:val="center"/>
          </w:tcPr>
          <w:p w14:paraId="6197D7A6">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评价要点：</w:t>
            </w:r>
          </w:p>
          <w:p w14:paraId="049A67EB">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（如未设定预算绩效目标，也可考核其他工作任务目标）</w:t>
            </w:r>
          </w:p>
          <w:p w14:paraId="1CC90452">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①项目是否有绩效目标；</w:t>
            </w:r>
          </w:p>
          <w:p w14:paraId="197E1482">
            <w:pPr>
              <w:widowControl/>
              <w:ind w:firstLine="0" w:firstLineChars="0"/>
              <w:jc w:val="left"/>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②项目绩效目标与实际工作内容是否具有相关性；</w:t>
            </w:r>
          </w:p>
          <w:p w14:paraId="1A53B918">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③项目预期产出效益和效果是否符合正常的业绩水平；</w:t>
            </w:r>
          </w:p>
          <w:p w14:paraId="7A5C1A04">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④是否与预算确定的项目投资额或资金量相匹配。</w:t>
            </w:r>
          </w:p>
        </w:tc>
      </w:tr>
      <w:tr w14:paraId="6F5EB30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4" w:hRule="atLeast"/>
          <w:jc w:val="center"/>
        </w:trPr>
        <w:tc>
          <w:tcPr>
            <w:tcW w:w="1155" w:type="dxa"/>
            <w:vMerge w:val="restart"/>
            <w:tcBorders>
              <w:tl2br w:val="nil"/>
              <w:tr2bl w:val="nil"/>
            </w:tcBorders>
            <w:shd w:val="clear" w:color="auto" w:fill="FFFFFF"/>
            <w:vAlign w:val="center"/>
          </w:tcPr>
          <w:p w14:paraId="3C7079A5">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决策</w:t>
            </w:r>
          </w:p>
        </w:tc>
        <w:tc>
          <w:tcPr>
            <w:tcW w:w="1199" w:type="dxa"/>
            <w:tcBorders>
              <w:tl2br w:val="nil"/>
              <w:tr2bl w:val="nil"/>
            </w:tcBorders>
            <w:shd w:val="clear" w:color="auto" w:fill="FFFFFF"/>
            <w:vAlign w:val="center"/>
          </w:tcPr>
          <w:p w14:paraId="589636CB">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绩效目标</w:t>
            </w:r>
          </w:p>
        </w:tc>
        <w:tc>
          <w:tcPr>
            <w:tcW w:w="1411" w:type="dxa"/>
            <w:tcBorders>
              <w:tl2br w:val="nil"/>
              <w:tr2bl w:val="nil"/>
            </w:tcBorders>
            <w:shd w:val="clear" w:color="auto" w:fill="FFFFFF"/>
            <w:vAlign w:val="center"/>
          </w:tcPr>
          <w:p w14:paraId="616AA5CC">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绩效指标</w:t>
            </w:r>
          </w:p>
          <w:p w14:paraId="4236706B">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明确性</w:t>
            </w:r>
          </w:p>
        </w:tc>
        <w:tc>
          <w:tcPr>
            <w:tcW w:w="2789" w:type="dxa"/>
            <w:tcBorders>
              <w:tl2br w:val="nil"/>
              <w:tr2bl w:val="nil"/>
            </w:tcBorders>
            <w:shd w:val="clear" w:color="000000" w:fill="FFFFFF"/>
            <w:vAlign w:val="center"/>
          </w:tcPr>
          <w:p w14:paraId="6ED903AF">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依据绩效目标设定的绩效指标是否清晰、细化、可衡量等，用以反映和考核项目绩效目标的明细化情况。</w:t>
            </w:r>
          </w:p>
        </w:tc>
        <w:tc>
          <w:tcPr>
            <w:tcW w:w="7341" w:type="dxa"/>
            <w:tcBorders>
              <w:tl2br w:val="nil"/>
              <w:tr2bl w:val="nil"/>
            </w:tcBorders>
            <w:shd w:val="clear" w:color="000000" w:fill="FFFFFF"/>
            <w:vAlign w:val="center"/>
          </w:tcPr>
          <w:p w14:paraId="17C646CF">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评价要点：</w:t>
            </w:r>
          </w:p>
          <w:p w14:paraId="23FFC98D">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①是否将项目绩效目标细化分解为具体的绩效指标；</w:t>
            </w:r>
          </w:p>
          <w:p w14:paraId="6263318D">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②是否通过清晰、可衡量的指标值予以体现；</w:t>
            </w:r>
          </w:p>
          <w:p w14:paraId="5CFA8E2B">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③是否与项目目标任务数或计划数相对应。</w:t>
            </w:r>
          </w:p>
          <w:p w14:paraId="366EAF8A">
            <w:pPr>
              <w:widowControl/>
              <w:ind w:firstLine="0" w:firstLineChars="0"/>
              <w:rPr>
                <w:rFonts w:hint="eastAsia" w:ascii="宋体" w:hAnsi="宋体" w:eastAsia="宋体" w:cs="宋体"/>
                <w:color w:val="000000"/>
                <w:kern w:val="0"/>
                <w:sz w:val="22"/>
                <w:lang w:eastAsia="zh-CN"/>
              </w:rPr>
            </w:pPr>
          </w:p>
        </w:tc>
      </w:tr>
      <w:tr w14:paraId="426C69F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942" w:hRule="atLeast"/>
          <w:jc w:val="center"/>
        </w:trPr>
        <w:tc>
          <w:tcPr>
            <w:tcW w:w="1155" w:type="dxa"/>
            <w:vMerge w:val="continue"/>
            <w:tcBorders>
              <w:tl2br w:val="nil"/>
              <w:tr2bl w:val="nil"/>
            </w:tcBorders>
            <w:shd w:val="clear" w:color="auto" w:fill="FFFFFF"/>
            <w:vAlign w:val="center"/>
          </w:tcPr>
          <w:p w14:paraId="703ED637">
            <w:pPr>
              <w:ind w:firstLine="0" w:firstLineChars="0"/>
              <w:jc w:val="center"/>
              <w:rPr>
                <w:rFonts w:ascii="宋体" w:hAnsi="宋体" w:eastAsia="宋体" w:cs="宋体"/>
                <w:color w:val="000000"/>
                <w:kern w:val="0"/>
                <w:sz w:val="22"/>
              </w:rPr>
            </w:pPr>
          </w:p>
        </w:tc>
        <w:tc>
          <w:tcPr>
            <w:tcW w:w="1199" w:type="dxa"/>
            <w:vMerge w:val="restart"/>
            <w:tcBorders>
              <w:tl2br w:val="nil"/>
              <w:tr2bl w:val="nil"/>
            </w:tcBorders>
            <w:shd w:val="clear" w:color="auto" w:fill="FFFFFF"/>
            <w:vAlign w:val="center"/>
          </w:tcPr>
          <w:p w14:paraId="059301E0">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资金投入</w:t>
            </w:r>
          </w:p>
        </w:tc>
        <w:tc>
          <w:tcPr>
            <w:tcW w:w="1411" w:type="dxa"/>
            <w:tcBorders>
              <w:tl2br w:val="nil"/>
              <w:tr2bl w:val="nil"/>
            </w:tcBorders>
            <w:shd w:val="clear" w:color="auto" w:fill="FFFFFF"/>
            <w:vAlign w:val="center"/>
          </w:tcPr>
          <w:p w14:paraId="5DB1D1EF">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预算编制</w:t>
            </w:r>
          </w:p>
          <w:p w14:paraId="6D381E57">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科学性</w:t>
            </w:r>
          </w:p>
        </w:tc>
        <w:tc>
          <w:tcPr>
            <w:tcW w:w="2789" w:type="dxa"/>
            <w:tcBorders>
              <w:tl2br w:val="nil"/>
              <w:tr2bl w:val="nil"/>
            </w:tcBorders>
            <w:shd w:val="clear" w:color="auto" w:fill="FFFFFF"/>
            <w:vAlign w:val="center"/>
          </w:tcPr>
          <w:p w14:paraId="4BD10367">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项目预算编制是否经过科学论证、有明确标准，资金额度与年度目标是否相适应，用以反映和考核项目预算编制的科学性、合理性情况。</w:t>
            </w:r>
          </w:p>
        </w:tc>
        <w:tc>
          <w:tcPr>
            <w:tcW w:w="7341" w:type="dxa"/>
            <w:tcBorders>
              <w:tl2br w:val="nil"/>
              <w:tr2bl w:val="nil"/>
            </w:tcBorders>
            <w:shd w:val="clear" w:color="auto" w:fill="FFFFFF"/>
            <w:vAlign w:val="center"/>
          </w:tcPr>
          <w:p w14:paraId="3C2F78AC">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评价要点：</w:t>
            </w:r>
          </w:p>
          <w:p w14:paraId="2A97CA2F">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①预算编制是否经过科学论证；</w:t>
            </w:r>
          </w:p>
          <w:p w14:paraId="6269734F">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②预算内容与项目内容是否匹配；</w:t>
            </w:r>
          </w:p>
          <w:p w14:paraId="0581A1B3">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③预算额度测算依据是否充分，是否按照标准编制；</w:t>
            </w:r>
          </w:p>
          <w:p w14:paraId="5D517302">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④预算确定的项目投资额或资金量是否与工作任务相匹配。</w:t>
            </w:r>
          </w:p>
        </w:tc>
      </w:tr>
      <w:tr w14:paraId="340D1AB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06" w:hRule="atLeast"/>
          <w:jc w:val="center"/>
        </w:trPr>
        <w:tc>
          <w:tcPr>
            <w:tcW w:w="1155" w:type="dxa"/>
            <w:vMerge w:val="continue"/>
            <w:tcBorders>
              <w:tl2br w:val="nil"/>
              <w:tr2bl w:val="nil"/>
            </w:tcBorders>
            <w:shd w:val="clear" w:color="auto" w:fill="FFFFFF"/>
            <w:vAlign w:val="center"/>
          </w:tcPr>
          <w:p w14:paraId="60FD8775">
            <w:pPr>
              <w:widowControl/>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14:paraId="3B921C4F">
            <w:pPr>
              <w:widowControl/>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vAlign w:val="center"/>
          </w:tcPr>
          <w:p w14:paraId="214D9CD5">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资金分配</w:t>
            </w:r>
          </w:p>
          <w:p w14:paraId="62C979FB">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合理性</w:t>
            </w:r>
          </w:p>
        </w:tc>
        <w:tc>
          <w:tcPr>
            <w:tcW w:w="2789" w:type="dxa"/>
            <w:tcBorders>
              <w:tl2br w:val="nil"/>
              <w:tr2bl w:val="nil"/>
            </w:tcBorders>
            <w:shd w:val="clear" w:color="auto" w:fill="FFFFFF"/>
            <w:vAlign w:val="center"/>
          </w:tcPr>
          <w:p w14:paraId="6AAE8266">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项目预算资金分配是否有测算依据，与补助单位或地方实际是否相适应，用以反映和考核项目预算资金分配的科学性、合理性情况。</w:t>
            </w:r>
          </w:p>
        </w:tc>
        <w:tc>
          <w:tcPr>
            <w:tcW w:w="7341" w:type="dxa"/>
            <w:tcBorders>
              <w:tl2br w:val="nil"/>
              <w:tr2bl w:val="nil"/>
            </w:tcBorders>
            <w:shd w:val="clear" w:color="auto" w:fill="FFFFFF"/>
            <w:vAlign w:val="center"/>
          </w:tcPr>
          <w:p w14:paraId="688D5F99">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评价要点：</w:t>
            </w:r>
          </w:p>
          <w:p w14:paraId="3C660A97">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①预算资金分配依据是否充分；</w:t>
            </w:r>
          </w:p>
          <w:p w14:paraId="7AFD863A">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②资金分配额度是否合理，与项目单位或地方实际是否相适应。</w:t>
            </w:r>
          </w:p>
        </w:tc>
      </w:tr>
      <w:tr w14:paraId="4607705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15" w:hRule="atLeast"/>
          <w:jc w:val="center"/>
        </w:trPr>
        <w:tc>
          <w:tcPr>
            <w:tcW w:w="1155" w:type="dxa"/>
            <w:vMerge w:val="restart"/>
            <w:tcBorders>
              <w:tl2br w:val="nil"/>
              <w:tr2bl w:val="nil"/>
            </w:tcBorders>
            <w:shd w:val="clear" w:color="auto" w:fill="FFFFFF"/>
            <w:vAlign w:val="center"/>
          </w:tcPr>
          <w:p w14:paraId="26601BDE">
            <w:pPr>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过程</w:t>
            </w:r>
          </w:p>
        </w:tc>
        <w:tc>
          <w:tcPr>
            <w:tcW w:w="1199" w:type="dxa"/>
            <w:vMerge w:val="restart"/>
            <w:tcBorders>
              <w:tl2br w:val="nil"/>
              <w:tr2bl w:val="nil"/>
            </w:tcBorders>
            <w:shd w:val="clear" w:color="auto" w:fill="FFFFFF"/>
            <w:vAlign w:val="center"/>
          </w:tcPr>
          <w:p w14:paraId="216C90A3">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资金管理</w:t>
            </w:r>
          </w:p>
        </w:tc>
        <w:tc>
          <w:tcPr>
            <w:tcW w:w="1411" w:type="dxa"/>
            <w:tcBorders>
              <w:tl2br w:val="nil"/>
              <w:tr2bl w:val="nil"/>
            </w:tcBorders>
            <w:shd w:val="clear" w:color="auto" w:fill="FFFFFF"/>
            <w:vAlign w:val="center"/>
          </w:tcPr>
          <w:p w14:paraId="0C9A8E44">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资金到位率</w:t>
            </w:r>
          </w:p>
        </w:tc>
        <w:tc>
          <w:tcPr>
            <w:tcW w:w="2789" w:type="dxa"/>
            <w:tcBorders>
              <w:tl2br w:val="nil"/>
              <w:tr2bl w:val="nil"/>
            </w:tcBorders>
            <w:shd w:val="clear" w:color="000000" w:fill="FFFFFF"/>
            <w:vAlign w:val="center"/>
          </w:tcPr>
          <w:p w14:paraId="10695D12">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实际到位资金与预算资金的比率，用以反映和考核资金落实情况对项目实施的总体保障程度。</w:t>
            </w:r>
          </w:p>
        </w:tc>
        <w:tc>
          <w:tcPr>
            <w:tcW w:w="7341" w:type="dxa"/>
            <w:tcBorders>
              <w:tl2br w:val="nil"/>
              <w:tr2bl w:val="nil"/>
            </w:tcBorders>
            <w:shd w:val="clear" w:color="000000" w:fill="FFFFFF"/>
            <w:vAlign w:val="center"/>
          </w:tcPr>
          <w:p w14:paraId="4EC71F79">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资金到位率=（实际到位资金/预算资金）×100%。</w:t>
            </w:r>
          </w:p>
          <w:p w14:paraId="2108640E">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实际到位资金：一定时期（本年度或项目期）内落实到具体项目的资金。</w:t>
            </w:r>
          </w:p>
          <w:p w14:paraId="14532A96">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预算资金：一定时期（本年度或项目期）内预算安排到具体项目的资金。</w:t>
            </w:r>
          </w:p>
        </w:tc>
      </w:tr>
      <w:tr w14:paraId="7633776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320" w:hRule="atLeast"/>
          <w:jc w:val="center"/>
        </w:trPr>
        <w:tc>
          <w:tcPr>
            <w:tcW w:w="1155" w:type="dxa"/>
            <w:vMerge w:val="continue"/>
            <w:tcBorders>
              <w:tl2br w:val="nil"/>
              <w:tr2bl w:val="nil"/>
            </w:tcBorders>
            <w:shd w:val="clear" w:color="auto" w:fill="FFFFFF"/>
            <w:vAlign w:val="center"/>
          </w:tcPr>
          <w:p w14:paraId="0239C249">
            <w:pPr>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14:paraId="01CE1EBB">
            <w:pPr>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vAlign w:val="center"/>
          </w:tcPr>
          <w:p w14:paraId="728DD763">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预算执行率</w:t>
            </w:r>
          </w:p>
        </w:tc>
        <w:tc>
          <w:tcPr>
            <w:tcW w:w="2789" w:type="dxa"/>
            <w:tcBorders>
              <w:tl2br w:val="nil"/>
              <w:tr2bl w:val="nil"/>
            </w:tcBorders>
            <w:shd w:val="clear" w:color="auto" w:fill="FFFFFF"/>
            <w:vAlign w:val="center"/>
          </w:tcPr>
          <w:p w14:paraId="14DFD623">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项目预算资金是否按照计划执行，用以反映或考核项目预算执行情况。</w:t>
            </w:r>
          </w:p>
        </w:tc>
        <w:tc>
          <w:tcPr>
            <w:tcW w:w="7341" w:type="dxa"/>
            <w:tcBorders>
              <w:tl2br w:val="nil"/>
              <w:tr2bl w:val="nil"/>
            </w:tcBorders>
            <w:shd w:val="clear" w:color="auto" w:fill="FFFFFF"/>
            <w:vAlign w:val="center"/>
          </w:tcPr>
          <w:p w14:paraId="643B6716">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预算执行率=（实际支出资金/实际到位资金）×100%。</w:t>
            </w:r>
          </w:p>
          <w:p w14:paraId="04CF1C7F">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实际支出资金：一定时期（本年度或项目期）内项目实际拨付的资金。</w:t>
            </w:r>
          </w:p>
        </w:tc>
      </w:tr>
      <w:tr w14:paraId="6159F4A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155" w:type="dxa"/>
            <w:vMerge w:val="restart"/>
            <w:tcBorders>
              <w:tl2br w:val="nil"/>
              <w:tr2bl w:val="nil"/>
            </w:tcBorders>
            <w:shd w:val="clear" w:color="auto" w:fill="FFFFFF"/>
            <w:vAlign w:val="center"/>
          </w:tcPr>
          <w:p w14:paraId="179589A1">
            <w:pPr>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过程</w:t>
            </w:r>
          </w:p>
        </w:tc>
        <w:tc>
          <w:tcPr>
            <w:tcW w:w="1199" w:type="dxa"/>
            <w:tcBorders>
              <w:tl2br w:val="nil"/>
              <w:tr2bl w:val="nil"/>
            </w:tcBorders>
            <w:shd w:val="clear" w:color="auto" w:fill="FFFFFF"/>
            <w:vAlign w:val="center"/>
          </w:tcPr>
          <w:p w14:paraId="3D05D639">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资金管理</w:t>
            </w:r>
          </w:p>
        </w:tc>
        <w:tc>
          <w:tcPr>
            <w:tcW w:w="1411" w:type="dxa"/>
            <w:tcBorders>
              <w:tl2br w:val="nil"/>
              <w:tr2bl w:val="nil"/>
            </w:tcBorders>
            <w:shd w:val="clear" w:color="auto" w:fill="FFFFFF"/>
            <w:vAlign w:val="center"/>
          </w:tcPr>
          <w:p w14:paraId="331A55FF">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资金使用</w:t>
            </w:r>
          </w:p>
          <w:p w14:paraId="40E5A426">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合规性</w:t>
            </w:r>
          </w:p>
        </w:tc>
        <w:tc>
          <w:tcPr>
            <w:tcW w:w="2789" w:type="dxa"/>
            <w:tcBorders>
              <w:tl2br w:val="nil"/>
              <w:tr2bl w:val="nil"/>
            </w:tcBorders>
            <w:shd w:val="clear" w:color="000000" w:fill="FFFFFF"/>
            <w:vAlign w:val="center"/>
          </w:tcPr>
          <w:p w14:paraId="187D9B3D">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项目资金使用是否符合相关的财务管理制度规定，用以反映和考核项目资金的规范运行情况。</w:t>
            </w:r>
          </w:p>
        </w:tc>
        <w:tc>
          <w:tcPr>
            <w:tcW w:w="7341" w:type="dxa"/>
            <w:tcBorders>
              <w:tl2br w:val="nil"/>
              <w:tr2bl w:val="nil"/>
            </w:tcBorders>
            <w:shd w:val="clear" w:color="000000" w:fill="FFFFFF"/>
            <w:vAlign w:val="center"/>
          </w:tcPr>
          <w:p w14:paraId="095AD8EC">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评价要点：</w:t>
            </w:r>
          </w:p>
          <w:p w14:paraId="52F12345">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①是否符合国家财经法规和财务管理制度以及有关专项资金管理办法的规定；</w:t>
            </w:r>
          </w:p>
          <w:p w14:paraId="3BD4C0D4">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②资金的拨付是否有完整的审批程序和手续；</w:t>
            </w:r>
          </w:p>
          <w:p w14:paraId="56300B9A">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③是否符合项目预算批复或合同规定的用途；</w:t>
            </w:r>
          </w:p>
          <w:p w14:paraId="3209772D">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④是否存在截留、挤占、挪用、虚列支出等情况。</w:t>
            </w:r>
          </w:p>
        </w:tc>
      </w:tr>
      <w:tr w14:paraId="013B9DA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97" w:hRule="atLeast"/>
          <w:jc w:val="center"/>
        </w:trPr>
        <w:tc>
          <w:tcPr>
            <w:tcW w:w="1155" w:type="dxa"/>
            <w:vMerge w:val="continue"/>
            <w:tcBorders>
              <w:tl2br w:val="nil"/>
              <w:tr2bl w:val="nil"/>
            </w:tcBorders>
            <w:shd w:val="clear" w:color="auto" w:fill="FFFFFF"/>
            <w:vAlign w:val="center"/>
          </w:tcPr>
          <w:p w14:paraId="310F9BB8">
            <w:pPr>
              <w:ind w:firstLine="0" w:firstLineChars="0"/>
              <w:jc w:val="center"/>
              <w:rPr>
                <w:rFonts w:ascii="宋体" w:hAnsi="宋体" w:eastAsia="宋体" w:cs="宋体"/>
                <w:color w:val="000000"/>
                <w:kern w:val="0"/>
                <w:sz w:val="22"/>
              </w:rPr>
            </w:pPr>
          </w:p>
        </w:tc>
        <w:tc>
          <w:tcPr>
            <w:tcW w:w="1199" w:type="dxa"/>
            <w:vMerge w:val="restart"/>
            <w:tcBorders>
              <w:tl2br w:val="nil"/>
              <w:tr2bl w:val="nil"/>
            </w:tcBorders>
            <w:shd w:val="clear" w:color="auto" w:fill="FFFFFF"/>
            <w:vAlign w:val="center"/>
          </w:tcPr>
          <w:p w14:paraId="35BB0440">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组织实施</w:t>
            </w:r>
          </w:p>
        </w:tc>
        <w:tc>
          <w:tcPr>
            <w:tcW w:w="1411" w:type="dxa"/>
            <w:tcBorders>
              <w:tl2br w:val="nil"/>
              <w:tr2bl w:val="nil"/>
            </w:tcBorders>
            <w:shd w:val="clear" w:color="auto" w:fill="FFFFFF"/>
            <w:vAlign w:val="center"/>
          </w:tcPr>
          <w:p w14:paraId="0EB7045C">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管理制度</w:t>
            </w:r>
          </w:p>
          <w:p w14:paraId="3D55C3FB">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健全性</w:t>
            </w:r>
          </w:p>
        </w:tc>
        <w:tc>
          <w:tcPr>
            <w:tcW w:w="2789" w:type="dxa"/>
            <w:tcBorders>
              <w:tl2br w:val="nil"/>
              <w:tr2bl w:val="nil"/>
            </w:tcBorders>
            <w:shd w:val="clear" w:color="000000" w:fill="FFFFFF"/>
            <w:vAlign w:val="center"/>
          </w:tcPr>
          <w:p w14:paraId="5FD2AA1B">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项目实施单位的财务和业务管理制度是否健全，用以反映和考核财务和业务管理制度对项目顺利实施的保障情况。</w:t>
            </w:r>
          </w:p>
        </w:tc>
        <w:tc>
          <w:tcPr>
            <w:tcW w:w="7341" w:type="dxa"/>
            <w:tcBorders>
              <w:tl2br w:val="nil"/>
              <w:tr2bl w:val="nil"/>
            </w:tcBorders>
            <w:shd w:val="clear" w:color="000000" w:fill="FFFFFF"/>
            <w:vAlign w:val="center"/>
          </w:tcPr>
          <w:p w14:paraId="4C8003C8">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评价要点：</w:t>
            </w:r>
          </w:p>
          <w:p w14:paraId="6642864E">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①是否已制定或具有相应的财务和业务管理制度；</w:t>
            </w:r>
          </w:p>
          <w:p w14:paraId="55A11C30">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②财务和业务管理制度是否合法、合规、完整。</w:t>
            </w:r>
          </w:p>
        </w:tc>
      </w:tr>
      <w:tr w14:paraId="2F12CE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69" w:hRule="atLeast"/>
          <w:jc w:val="center"/>
        </w:trPr>
        <w:tc>
          <w:tcPr>
            <w:tcW w:w="1155" w:type="dxa"/>
            <w:vMerge w:val="continue"/>
            <w:tcBorders>
              <w:tl2br w:val="nil"/>
              <w:tr2bl w:val="nil"/>
            </w:tcBorders>
            <w:shd w:val="clear" w:color="auto" w:fill="FFFFFF"/>
            <w:vAlign w:val="center"/>
          </w:tcPr>
          <w:p w14:paraId="36B0C0AE">
            <w:pPr>
              <w:widowControl/>
              <w:ind w:firstLine="0" w:firstLineChars="0"/>
              <w:jc w:val="center"/>
              <w:rPr>
                <w:rFonts w:ascii="宋体" w:hAnsi="宋体" w:eastAsia="宋体" w:cs="宋体"/>
                <w:color w:val="000000"/>
                <w:kern w:val="0"/>
                <w:sz w:val="22"/>
              </w:rPr>
            </w:pPr>
          </w:p>
        </w:tc>
        <w:tc>
          <w:tcPr>
            <w:tcW w:w="1199" w:type="dxa"/>
            <w:vMerge w:val="continue"/>
            <w:tcBorders>
              <w:tl2br w:val="nil"/>
              <w:tr2bl w:val="nil"/>
            </w:tcBorders>
            <w:shd w:val="clear" w:color="auto" w:fill="FFFFFF"/>
            <w:vAlign w:val="center"/>
          </w:tcPr>
          <w:p w14:paraId="02CF6B7D">
            <w:pPr>
              <w:widowControl/>
              <w:ind w:firstLine="0" w:firstLineChars="0"/>
              <w:jc w:val="center"/>
              <w:rPr>
                <w:rFonts w:ascii="宋体" w:hAnsi="宋体" w:eastAsia="宋体" w:cs="宋体"/>
                <w:color w:val="000000"/>
                <w:kern w:val="0"/>
                <w:sz w:val="22"/>
              </w:rPr>
            </w:pPr>
          </w:p>
        </w:tc>
        <w:tc>
          <w:tcPr>
            <w:tcW w:w="1411" w:type="dxa"/>
            <w:tcBorders>
              <w:tl2br w:val="nil"/>
              <w:tr2bl w:val="nil"/>
            </w:tcBorders>
            <w:shd w:val="clear" w:color="auto" w:fill="FFFFFF"/>
            <w:vAlign w:val="center"/>
          </w:tcPr>
          <w:p w14:paraId="166E506A">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制度执行</w:t>
            </w:r>
          </w:p>
          <w:p w14:paraId="75C59CB2">
            <w:pPr>
              <w:widowControl/>
              <w:ind w:firstLine="0" w:firstLineChars="0"/>
              <w:jc w:val="center"/>
              <w:rPr>
                <w:rFonts w:ascii="宋体" w:hAnsi="宋体" w:eastAsia="宋体" w:cs="宋体"/>
                <w:color w:val="000000"/>
                <w:kern w:val="0"/>
                <w:sz w:val="22"/>
              </w:rPr>
            </w:pPr>
            <w:r>
              <w:rPr>
                <w:rFonts w:hint="eastAsia" w:ascii="宋体" w:hAnsi="宋体" w:eastAsia="宋体" w:cs="宋体"/>
                <w:color w:val="000000"/>
                <w:kern w:val="0"/>
                <w:sz w:val="22"/>
              </w:rPr>
              <w:t>有效性</w:t>
            </w:r>
          </w:p>
        </w:tc>
        <w:tc>
          <w:tcPr>
            <w:tcW w:w="2789" w:type="dxa"/>
            <w:tcBorders>
              <w:tl2br w:val="nil"/>
              <w:tr2bl w:val="nil"/>
            </w:tcBorders>
            <w:shd w:val="clear" w:color="000000" w:fill="FFFFFF"/>
            <w:vAlign w:val="center"/>
          </w:tcPr>
          <w:p w14:paraId="056FD349">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项目实施是否符合相关管理规定，用以反映和考核相关管理制度的有效执行情况。</w:t>
            </w:r>
          </w:p>
        </w:tc>
        <w:tc>
          <w:tcPr>
            <w:tcW w:w="7341" w:type="dxa"/>
            <w:tcBorders>
              <w:tl2br w:val="nil"/>
              <w:tr2bl w:val="nil"/>
            </w:tcBorders>
            <w:shd w:val="clear" w:color="000000" w:fill="FFFFFF"/>
            <w:vAlign w:val="center"/>
          </w:tcPr>
          <w:p w14:paraId="0F9EE073">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评价要点：</w:t>
            </w:r>
          </w:p>
          <w:p w14:paraId="21739B27">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①是否遵守相关法律法规和相关管理规定；</w:t>
            </w:r>
          </w:p>
          <w:p w14:paraId="4ABAF34C">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②项目调整及支出调整手续是否完备；</w:t>
            </w:r>
          </w:p>
          <w:p w14:paraId="2D0015AB">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③项目合同书、验收报告、技术鉴定等资料是否齐全并及时归档；</w:t>
            </w:r>
          </w:p>
          <w:p w14:paraId="2CB20387">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④项目实施的人员条件、场地设备、信息支撑等是否落实到位。</w:t>
            </w:r>
          </w:p>
        </w:tc>
      </w:tr>
      <w:tr w14:paraId="38A8470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913" w:hRule="atLeast"/>
          <w:jc w:val="center"/>
        </w:trPr>
        <w:tc>
          <w:tcPr>
            <w:tcW w:w="1155" w:type="dxa"/>
            <w:vMerge w:val="restart"/>
            <w:tcBorders>
              <w:tl2br w:val="nil"/>
              <w:tr2bl w:val="nil"/>
            </w:tcBorders>
            <w:shd w:val="clear" w:color="auto" w:fill="FFFFFF"/>
            <w:vAlign w:val="center"/>
          </w:tcPr>
          <w:p w14:paraId="0CACC93E">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w:t>
            </w:r>
          </w:p>
        </w:tc>
        <w:tc>
          <w:tcPr>
            <w:tcW w:w="1199" w:type="dxa"/>
            <w:vMerge w:val="restart"/>
            <w:tcBorders>
              <w:tl2br w:val="nil"/>
              <w:tr2bl w:val="nil"/>
            </w:tcBorders>
            <w:shd w:val="clear" w:color="auto" w:fill="FFFFFF"/>
            <w:vAlign w:val="center"/>
          </w:tcPr>
          <w:p w14:paraId="61F0C22D">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产出数量</w:t>
            </w:r>
          </w:p>
        </w:tc>
        <w:tc>
          <w:tcPr>
            <w:tcW w:w="1411" w:type="dxa"/>
            <w:tcBorders>
              <w:tl2br w:val="nil"/>
              <w:tr2bl w:val="nil"/>
            </w:tcBorders>
            <w:shd w:val="clear" w:color="auto" w:fill="FFFFFF"/>
          </w:tcPr>
          <w:p w14:paraId="7F39A451">
            <w:pPr>
              <w:widowControl/>
              <w:ind w:firstLine="0" w:firstLineChars="0"/>
              <w:jc w:val="center"/>
              <w:rPr>
                <w:rFonts w:hint="eastAsia" w:ascii="宋体" w:hAnsi="宋体" w:eastAsia="宋体" w:cs="宋体"/>
                <w:color w:val="000000"/>
                <w:kern w:val="0"/>
                <w:sz w:val="22"/>
                <w:highlight w:val="none"/>
              </w:rPr>
            </w:pPr>
          </w:p>
          <w:p w14:paraId="60811598">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eastAsia="zh-CN"/>
              </w:rPr>
              <w:t>聘用岗位</w:t>
            </w:r>
            <w:r>
              <w:rPr>
                <w:rFonts w:hint="eastAsia" w:ascii="宋体" w:hAnsi="宋体" w:eastAsia="宋体" w:cs="宋体"/>
                <w:color w:val="000000"/>
                <w:kern w:val="0"/>
                <w:sz w:val="22"/>
                <w:highlight w:val="none"/>
              </w:rPr>
              <w:t>完成情况</w:t>
            </w:r>
          </w:p>
        </w:tc>
        <w:tc>
          <w:tcPr>
            <w:tcW w:w="2789" w:type="dxa"/>
            <w:vMerge w:val="restart"/>
            <w:tcBorders>
              <w:tl2br w:val="nil"/>
              <w:tr2bl w:val="nil"/>
            </w:tcBorders>
            <w:shd w:val="clear" w:color="000000" w:fill="FFFFFF"/>
            <w:vAlign w:val="center"/>
          </w:tcPr>
          <w:p w14:paraId="5EDF0500">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项目实施的实际产出数与计划产出数的比率，用以反映和考核项目产出数量目标的实现程度。</w:t>
            </w:r>
          </w:p>
        </w:tc>
        <w:tc>
          <w:tcPr>
            <w:tcW w:w="7341" w:type="dxa"/>
            <w:vMerge w:val="restart"/>
            <w:tcBorders>
              <w:tl2br w:val="nil"/>
              <w:tr2bl w:val="nil"/>
            </w:tcBorders>
            <w:shd w:val="clear" w:color="000000" w:fill="FFFFFF"/>
            <w:vAlign w:val="center"/>
          </w:tcPr>
          <w:p w14:paraId="16A97952">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实际完成率=（实际产出数/计划产出数）×100%。</w:t>
            </w:r>
          </w:p>
          <w:p w14:paraId="1F652206">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实际产出数：一定时期（本年度或项目期）内项目实际产出的产品或提供的服务数量。</w:t>
            </w:r>
          </w:p>
          <w:p w14:paraId="44E8BFC5">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计划产出数：项目绩效目标确定的在一定时期（本年度或项目期）内计划产出的产品或提供的服务数量。</w:t>
            </w:r>
          </w:p>
        </w:tc>
      </w:tr>
      <w:tr w14:paraId="6A23109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6" w:hRule="atLeast"/>
          <w:jc w:val="center"/>
        </w:trPr>
        <w:tc>
          <w:tcPr>
            <w:tcW w:w="1155" w:type="dxa"/>
            <w:vMerge w:val="continue"/>
            <w:tcBorders>
              <w:tl2br w:val="nil"/>
              <w:tr2bl w:val="nil"/>
            </w:tcBorders>
            <w:shd w:val="clear" w:color="auto" w:fill="FFFFFF"/>
            <w:vAlign w:val="center"/>
          </w:tcPr>
          <w:p w14:paraId="6D1EF519">
            <w:pPr>
              <w:widowControl/>
              <w:ind w:firstLine="0" w:firstLineChars="0"/>
              <w:jc w:val="center"/>
              <w:rPr>
                <w:highlight w:val="none"/>
              </w:rPr>
            </w:pPr>
          </w:p>
        </w:tc>
        <w:tc>
          <w:tcPr>
            <w:tcW w:w="1199" w:type="dxa"/>
            <w:vMerge w:val="continue"/>
            <w:tcBorders>
              <w:tl2br w:val="nil"/>
              <w:tr2bl w:val="nil"/>
            </w:tcBorders>
            <w:shd w:val="clear" w:color="auto" w:fill="FFFFFF"/>
            <w:vAlign w:val="center"/>
          </w:tcPr>
          <w:p w14:paraId="1FC62B6E">
            <w:pPr>
              <w:widowControl/>
              <w:ind w:firstLine="0" w:firstLineChars="0"/>
              <w:jc w:val="center"/>
              <w:rPr>
                <w:highlight w:val="none"/>
              </w:rPr>
            </w:pPr>
          </w:p>
        </w:tc>
        <w:tc>
          <w:tcPr>
            <w:tcW w:w="1411" w:type="dxa"/>
            <w:tcBorders>
              <w:tl2br w:val="nil"/>
              <w:tr2bl w:val="nil"/>
            </w:tcBorders>
            <w:shd w:val="clear" w:color="auto" w:fill="FFFFFF"/>
          </w:tcPr>
          <w:p w14:paraId="35C8F69F">
            <w:pPr>
              <w:widowControl/>
              <w:ind w:firstLine="0" w:firstLineChars="0"/>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培训、演练完成情况</w:t>
            </w:r>
          </w:p>
        </w:tc>
        <w:tc>
          <w:tcPr>
            <w:tcW w:w="2789" w:type="dxa"/>
            <w:vMerge w:val="continue"/>
            <w:tcBorders>
              <w:tl2br w:val="nil"/>
              <w:tr2bl w:val="nil"/>
            </w:tcBorders>
            <w:shd w:val="clear" w:color="000000" w:fill="FFFFFF"/>
            <w:vAlign w:val="center"/>
          </w:tcPr>
          <w:p w14:paraId="6AFD4AC5">
            <w:pPr>
              <w:widowControl/>
              <w:ind w:firstLine="0" w:firstLineChars="0"/>
              <w:jc w:val="center"/>
              <w:rPr>
                <w:rFonts w:hint="eastAsia" w:ascii="宋体" w:hAnsi="宋体" w:eastAsia="宋体" w:cs="宋体"/>
                <w:color w:val="000000"/>
                <w:kern w:val="0"/>
                <w:sz w:val="22"/>
                <w:highlight w:val="yellow"/>
                <w:lang w:eastAsia="zh-CN"/>
              </w:rPr>
            </w:pPr>
          </w:p>
        </w:tc>
        <w:tc>
          <w:tcPr>
            <w:tcW w:w="7341" w:type="dxa"/>
            <w:vMerge w:val="continue"/>
            <w:tcBorders>
              <w:tl2br w:val="nil"/>
              <w:tr2bl w:val="nil"/>
            </w:tcBorders>
            <w:shd w:val="clear" w:color="000000" w:fill="FFFFFF"/>
            <w:vAlign w:val="center"/>
          </w:tcPr>
          <w:p w14:paraId="63C6F0F9">
            <w:pPr>
              <w:widowControl/>
              <w:ind w:firstLine="0" w:firstLineChars="0"/>
              <w:jc w:val="center"/>
              <w:rPr>
                <w:rFonts w:hint="eastAsia" w:ascii="宋体" w:hAnsi="宋体" w:eastAsia="宋体" w:cs="宋体"/>
                <w:color w:val="000000"/>
                <w:kern w:val="0"/>
                <w:sz w:val="22"/>
                <w:highlight w:val="yellow"/>
                <w:lang w:eastAsia="zh-CN"/>
              </w:rPr>
            </w:pPr>
          </w:p>
        </w:tc>
      </w:tr>
      <w:tr w14:paraId="2461AD9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646" w:hRule="atLeast"/>
          <w:jc w:val="center"/>
        </w:trPr>
        <w:tc>
          <w:tcPr>
            <w:tcW w:w="1155" w:type="dxa"/>
            <w:vMerge w:val="continue"/>
            <w:tcBorders>
              <w:tl2br w:val="nil"/>
              <w:tr2bl w:val="nil"/>
            </w:tcBorders>
            <w:shd w:val="clear" w:color="auto" w:fill="FFFFFF"/>
            <w:vAlign w:val="center"/>
          </w:tcPr>
          <w:p w14:paraId="48B131B0">
            <w:pPr>
              <w:widowControl/>
              <w:ind w:firstLine="0" w:firstLineChars="0"/>
              <w:jc w:val="center"/>
              <w:rPr>
                <w:rFonts w:hint="eastAsia" w:ascii="宋体" w:hAnsi="宋体" w:eastAsia="宋体" w:cs="宋体"/>
                <w:color w:val="000000"/>
                <w:kern w:val="0"/>
                <w:sz w:val="22"/>
                <w:highlight w:val="none"/>
                <w:lang w:eastAsia="zh-CN"/>
              </w:rPr>
            </w:pPr>
          </w:p>
        </w:tc>
        <w:tc>
          <w:tcPr>
            <w:tcW w:w="1199" w:type="dxa"/>
            <w:vMerge w:val="continue"/>
            <w:tcBorders>
              <w:tl2br w:val="nil"/>
              <w:tr2bl w:val="nil"/>
            </w:tcBorders>
            <w:shd w:val="clear" w:color="auto" w:fill="FFFFFF"/>
            <w:vAlign w:val="center"/>
          </w:tcPr>
          <w:p w14:paraId="015A39D3">
            <w:pPr>
              <w:widowControl/>
              <w:ind w:firstLine="0" w:firstLineChars="0"/>
              <w:jc w:val="center"/>
              <w:rPr>
                <w:rFonts w:hint="eastAsia" w:ascii="宋体" w:hAnsi="宋体" w:eastAsia="宋体" w:cs="宋体"/>
                <w:color w:val="000000"/>
                <w:kern w:val="0"/>
                <w:sz w:val="22"/>
                <w:highlight w:val="none"/>
                <w:lang w:eastAsia="zh-CN"/>
              </w:rPr>
            </w:pPr>
          </w:p>
        </w:tc>
        <w:tc>
          <w:tcPr>
            <w:tcW w:w="1411" w:type="dxa"/>
            <w:tcBorders>
              <w:tl2br w:val="nil"/>
              <w:tr2bl w:val="nil"/>
            </w:tcBorders>
            <w:shd w:val="clear" w:color="auto" w:fill="FFFFFF"/>
          </w:tcPr>
          <w:p w14:paraId="46B4A7C8">
            <w:pPr>
              <w:widowControl/>
              <w:ind w:firstLine="0" w:firstLineChars="0"/>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工作天数完成情况</w:t>
            </w:r>
          </w:p>
        </w:tc>
        <w:tc>
          <w:tcPr>
            <w:tcW w:w="2789" w:type="dxa"/>
            <w:vMerge w:val="continue"/>
            <w:tcBorders>
              <w:tl2br w:val="nil"/>
              <w:tr2bl w:val="nil"/>
            </w:tcBorders>
            <w:shd w:val="clear" w:color="000000" w:fill="FFFFFF"/>
            <w:vAlign w:val="center"/>
          </w:tcPr>
          <w:p w14:paraId="051B2275">
            <w:pPr>
              <w:widowControl/>
              <w:ind w:firstLine="0" w:firstLineChars="0"/>
              <w:jc w:val="center"/>
              <w:rPr>
                <w:rFonts w:hint="eastAsia" w:ascii="宋体" w:hAnsi="宋体" w:eastAsia="宋体" w:cs="宋体"/>
                <w:color w:val="000000"/>
                <w:kern w:val="0"/>
                <w:sz w:val="22"/>
                <w:highlight w:val="yellow"/>
                <w:lang w:eastAsia="zh-CN"/>
              </w:rPr>
            </w:pPr>
          </w:p>
        </w:tc>
        <w:tc>
          <w:tcPr>
            <w:tcW w:w="7341" w:type="dxa"/>
            <w:vMerge w:val="continue"/>
            <w:tcBorders>
              <w:tl2br w:val="nil"/>
              <w:tr2bl w:val="nil"/>
            </w:tcBorders>
            <w:shd w:val="clear" w:color="000000" w:fill="FFFFFF"/>
            <w:vAlign w:val="center"/>
          </w:tcPr>
          <w:p w14:paraId="6AA10ECA">
            <w:pPr>
              <w:widowControl/>
              <w:ind w:firstLine="0" w:firstLineChars="0"/>
              <w:jc w:val="center"/>
              <w:rPr>
                <w:rFonts w:hint="eastAsia" w:ascii="宋体" w:hAnsi="宋体" w:eastAsia="宋体" w:cs="宋体"/>
                <w:color w:val="000000"/>
                <w:kern w:val="0"/>
                <w:sz w:val="22"/>
                <w:highlight w:val="yellow"/>
                <w:lang w:eastAsia="zh-CN"/>
              </w:rPr>
            </w:pPr>
          </w:p>
        </w:tc>
      </w:tr>
      <w:tr w14:paraId="5148AA3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718" w:hRule="atLeast"/>
          <w:jc w:val="center"/>
        </w:trPr>
        <w:tc>
          <w:tcPr>
            <w:tcW w:w="1155" w:type="dxa"/>
            <w:vMerge w:val="restart"/>
            <w:tcBorders>
              <w:tl2br w:val="nil"/>
              <w:tr2bl w:val="nil"/>
            </w:tcBorders>
            <w:shd w:val="clear" w:color="auto" w:fill="FFFFFF"/>
            <w:vAlign w:val="center"/>
          </w:tcPr>
          <w:p w14:paraId="50C9F474">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w:t>
            </w:r>
          </w:p>
        </w:tc>
        <w:tc>
          <w:tcPr>
            <w:tcW w:w="1199" w:type="dxa"/>
            <w:tcBorders>
              <w:tl2br w:val="nil"/>
              <w:tr2bl w:val="nil"/>
            </w:tcBorders>
            <w:shd w:val="clear" w:color="auto" w:fill="FFFFFF"/>
            <w:vAlign w:val="center"/>
          </w:tcPr>
          <w:p w14:paraId="751C2F29">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产出质量</w:t>
            </w:r>
          </w:p>
        </w:tc>
        <w:tc>
          <w:tcPr>
            <w:tcW w:w="1411" w:type="dxa"/>
            <w:tcBorders>
              <w:tl2br w:val="nil"/>
              <w:tr2bl w:val="nil"/>
            </w:tcBorders>
            <w:shd w:val="clear" w:color="auto" w:fill="FFFFFF"/>
            <w:vAlign w:val="center"/>
          </w:tcPr>
          <w:p w14:paraId="39CA1A8B">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lang w:eastAsia="zh-CN"/>
              </w:rPr>
              <w:t>安保人员持证上岗率</w:t>
            </w:r>
          </w:p>
        </w:tc>
        <w:tc>
          <w:tcPr>
            <w:tcW w:w="2789" w:type="dxa"/>
            <w:tcBorders>
              <w:tl2br w:val="nil"/>
              <w:tr2bl w:val="nil"/>
            </w:tcBorders>
            <w:shd w:val="clear" w:color="000000" w:fill="FFFFFF"/>
            <w:vAlign w:val="center"/>
          </w:tcPr>
          <w:p w14:paraId="7427B649">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项目完成的质量达标产出数与实际产出数的比率，用以反映和考核项目产出质量目标的实现程度。</w:t>
            </w:r>
          </w:p>
        </w:tc>
        <w:tc>
          <w:tcPr>
            <w:tcW w:w="7341" w:type="dxa"/>
            <w:tcBorders>
              <w:tl2br w:val="nil"/>
              <w:tr2bl w:val="nil"/>
            </w:tcBorders>
            <w:shd w:val="clear" w:color="000000" w:fill="FFFFFF"/>
            <w:vAlign w:val="center"/>
          </w:tcPr>
          <w:p w14:paraId="751D318C">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质量达标率=（质量达标产出数/实际产出数）×100%。</w:t>
            </w:r>
          </w:p>
          <w:p w14:paraId="6D3F91C5">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质量达标产出数：一定时期（本年度或项目期）内实际达到既定质量标准的产品或服务数量。既定质量标准是指项目实施单位设立绩效目标时依据计划标准、行业标准、历史标准或其他标准而设定的绩效指标值。</w:t>
            </w:r>
          </w:p>
        </w:tc>
      </w:tr>
      <w:tr w14:paraId="265F2BD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742" w:hRule="atLeast"/>
          <w:jc w:val="center"/>
        </w:trPr>
        <w:tc>
          <w:tcPr>
            <w:tcW w:w="1155" w:type="dxa"/>
            <w:vMerge w:val="continue"/>
            <w:tcBorders>
              <w:tl2br w:val="nil"/>
              <w:tr2bl w:val="nil"/>
            </w:tcBorders>
            <w:shd w:val="clear" w:color="auto" w:fill="FFFFFF"/>
            <w:vAlign w:val="center"/>
          </w:tcPr>
          <w:p w14:paraId="1F9698CB">
            <w:pPr>
              <w:ind w:firstLine="0" w:firstLineChars="0"/>
              <w:jc w:val="center"/>
              <w:rPr>
                <w:rFonts w:ascii="宋体" w:hAnsi="宋体" w:eastAsia="宋体" w:cs="宋体"/>
                <w:color w:val="000000"/>
                <w:kern w:val="0"/>
                <w:sz w:val="22"/>
                <w:highlight w:val="none"/>
              </w:rPr>
            </w:pPr>
          </w:p>
        </w:tc>
        <w:tc>
          <w:tcPr>
            <w:tcW w:w="1199" w:type="dxa"/>
            <w:tcBorders>
              <w:tl2br w:val="nil"/>
              <w:tr2bl w:val="nil"/>
            </w:tcBorders>
            <w:shd w:val="clear" w:color="auto" w:fill="FFFFFF"/>
            <w:vAlign w:val="center"/>
          </w:tcPr>
          <w:p w14:paraId="7446F71F">
            <w:pPr>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产出时效</w:t>
            </w:r>
          </w:p>
        </w:tc>
        <w:tc>
          <w:tcPr>
            <w:tcW w:w="1411" w:type="dxa"/>
            <w:tcBorders>
              <w:tl2br w:val="nil"/>
              <w:tr2bl w:val="nil"/>
            </w:tcBorders>
            <w:shd w:val="clear" w:color="auto" w:fill="FFFFFF"/>
            <w:vAlign w:val="center"/>
          </w:tcPr>
          <w:p w14:paraId="7457E3CF">
            <w:pPr>
              <w:widowControl/>
              <w:ind w:firstLine="0" w:firstLineChars="0"/>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项目</w:t>
            </w:r>
            <w:r>
              <w:rPr>
                <w:rFonts w:hint="eastAsia" w:ascii="宋体" w:hAnsi="宋体" w:eastAsia="宋体" w:cs="宋体"/>
                <w:color w:val="000000"/>
                <w:kern w:val="0"/>
                <w:sz w:val="22"/>
                <w:highlight w:val="none"/>
              </w:rPr>
              <w:t>完成及时</w:t>
            </w:r>
            <w:r>
              <w:rPr>
                <w:rFonts w:hint="eastAsia" w:ascii="宋体" w:hAnsi="宋体" w:eastAsia="宋体" w:cs="宋体"/>
                <w:color w:val="000000"/>
                <w:kern w:val="0"/>
                <w:sz w:val="22"/>
                <w:highlight w:val="none"/>
                <w:lang w:eastAsia="zh-CN"/>
              </w:rPr>
              <w:t>情况</w:t>
            </w:r>
          </w:p>
        </w:tc>
        <w:tc>
          <w:tcPr>
            <w:tcW w:w="2789" w:type="dxa"/>
            <w:tcBorders>
              <w:tl2br w:val="nil"/>
              <w:tr2bl w:val="nil"/>
            </w:tcBorders>
            <w:shd w:val="clear" w:color="000000" w:fill="FFFFFF"/>
            <w:vAlign w:val="center"/>
          </w:tcPr>
          <w:p w14:paraId="10D487B9">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项目实际完成时间与计划完成时间的比较，用以反映和考核项目产出时效目标的实现程度。</w:t>
            </w:r>
          </w:p>
        </w:tc>
        <w:tc>
          <w:tcPr>
            <w:tcW w:w="7341" w:type="dxa"/>
            <w:tcBorders>
              <w:tl2br w:val="nil"/>
              <w:tr2bl w:val="nil"/>
            </w:tcBorders>
            <w:shd w:val="clear" w:color="000000" w:fill="FFFFFF"/>
            <w:vAlign w:val="center"/>
          </w:tcPr>
          <w:p w14:paraId="0CB56B2B">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实际完成时间：项目实施单位完成该项目实际所耗用的时间。</w:t>
            </w:r>
          </w:p>
          <w:p w14:paraId="6388F1C5">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计划完成时间：按照项目实施计划或相关规定完成该项目所需的时间。</w:t>
            </w:r>
          </w:p>
        </w:tc>
      </w:tr>
      <w:tr w14:paraId="615078E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2076" w:hRule="atLeast"/>
          <w:jc w:val="center"/>
        </w:trPr>
        <w:tc>
          <w:tcPr>
            <w:tcW w:w="1155" w:type="dxa"/>
            <w:vMerge w:val="continue"/>
            <w:tcBorders>
              <w:tl2br w:val="nil"/>
              <w:tr2bl w:val="nil"/>
            </w:tcBorders>
            <w:shd w:val="clear" w:color="auto" w:fill="FFFFFF"/>
            <w:vAlign w:val="center"/>
          </w:tcPr>
          <w:p w14:paraId="70E5A0D6">
            <w:pPr>
              <w:widowControl/>
              <w:ind w:firstLine="0" w:firstLineChars="0"/>
              <w:jc w:val="center"/>
              <w:rPr>
                <w:rFonts w:ascii="宋体" w:hAnsi="宋体" w:eastAsia="宋体" w:cs="宋体"/>
                <w:color w:val="000000"/>
                <w:kern w:val="0"/>
                <w:sz w:val="22"/>
              </w:rPr>
            </w:pPr>
          </w:p>
        </w:tc>
        <w:tc>
          <w:tcPr>
            <w:tcW w:w="1199" w:type="dxa"/>
            <w:tcBorders>
              <w:tl2br w:val="nil"/>
              <w:tr2bl w:val="nil"/>
            </w:tcBorders>
            <w:shd w:val="clear" w:color="auto" w:fill="FFFFFF"/>
            <w:vAlign w:val="center"/>
          </w:tcPr>
          <w:p w14:paraId="64A3806E">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产出成本</w:t>
            </w:r>
          </w:p>
        </w:tc>
        <w:tc>
          <w:tcPr>
            <w:tcW w:w="1411" w:type="dxa"/>
            <w:tcBorders>
              <w:tl2br w:val="nil"/>
              <w:tr2bl w:val="nil"/>
            </w:tcBorders>
            <w:shd w:val="clear" w:color="auto" w:fill="FFFFFF"/>
            <w:vAlign w:val="center"/>
          </w:tcPr>
          <w:p w14:paraId="635AEDF5">
            <w:pPr>
              <w:widowControl/>
              <w:ind w:firstLine="0" w:firstLineChars="0"/>
              <w:jc w:val="center"/>
              <w:rPr>
                <w:rFonts w:hint="default" w:ascii="宋体" w:hAnsi="宋体" w:eastAsia="宋体" w:cs="宋体"/>
                <w:color w:val="000000"/>
                <w:kern w:val="0"/>
                <w:sz w:val="22"/>
                <w:highlight w:val="none"/>
                <w:lang w:val="en-US" w:eastAsia="zh-CN"/>
              </w:rPr>
            </w:pPr>
            <w:r>
              <w:rPr>
                <w:rFonts w:hint="eastAsia" w:ascii="宋体" w:hAnsi="宋体" w:eastAsia="宋体" w:cs="宋体"/>
                <w:color w:val="000000"/>
                <w:kern w:val="0"/>
                <w:sz w:val="22"/>
                <w:highlight w:val="none"/>
                <w:lang w:val="en-US" w:eastAsia="zh-CN"/>
              </w:rPr>
              <w:t>项目预算控制率</w:t>
            </w:r>
          </w:p>
        </w:tc>
        <w:tc>
          <w:tcPr>
            <w:tcW w:w="2789" w:type="dxa"/>
            <w:tcBorders>
              <w:tl2br w:val="nil"/>
              <w:tr2bl w:val="nil"/>
            </w:tcBorders>
            <w:shd w:val="clear" w:color="000000" w:fill="FFFFFF"/>
            <w:vAlign w:val="center"/>
          </w:tcPr>
          <w:p w14:paraId="09D04F0E">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完成项目计划工作目标的实际节约成本与计划成本的比率，用以反映和考核项目的成本节约程度。</w:t>
            </w:r>
          </w:p>
        </w:tc>
        <w:tc>
          <w:tcPr>
            <w:tcW w:w="7341" w:type="dxa"/>
            <w:tcBorders>
              <w:tl2br w:val="nil"/>
              <w:tr2bl w:val="nil"/>
            </w:tcBorders>
            <w:shd w:val="clear" w:color="000000" w:fill="FFFFFF"/>
            <w:vAlign w:val="center"/>
          </w:tcPr>
          <w:p w14:paraId="48483C5C">
            <w:pPr>
              <w:widowControl/>
              <w:ind w:firstLine="0" w:firstLineChars="0"/>
              <w:rPr>
                <w:rFonts w:hint="eastAsia" w:ascii="宋体" w:hAnsi="宋体" w:eastAsia="宋体" w:cs="宋体"/>
                <w:color w:val="000000"/>
                <w:kern w:val="0"/>
                <w:sz w:val="22"/>
                <w:lang w:eastAsia="zh-CN"/>
              </w:rPr>
            </w:pPr>
          </w:p>
          <w:p w14:paraId="74A92AC5">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成本节约率=[（计划成本-实际成本）/计划成本]×100%。</w:t>
            </w:r>
          </w:p>
          <w:p w14:paraId="5AFF9B40">
            <w:pPr>
              <w:widowControl/>
              <w:ind w:firstLine="0" w:firstLineChars="0"/>
              <w:rPr>
                <w:rFonts w:hint="eastAsia" w:ascii="宋体" w:hAnsi="宋体" w:eastAsia="宋体" w:cs="宋体"/>
                <w:color w:val="000000"/>
                <w:kern w:val="0"/>
                <w:sz w:val="22"/>
                <w:lang w:eastAsia="zh-CN"/>
              </w:rPr>
            </w:pPr>
            <w:r>
              <w:rPr>
                <w:rFonts w:hint="eastAsia" w:ascii="宋体" w:hAnsi="宋体" w:eastAsia="宋体" w:cs="宋体"/>
                <w:color w:val="000000"/>
                <w:kern w:val="0"/>
                <w:sz w:val="22"/>
              </w:rPr>
              <w:t>实际成本：项目实施单位如期、保质、保量完成既定工作目标实际所耗费的支出。</w:t>
            </w:r>
          </w:p>
          <w:p w14:paraId="76293459">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计划成本：项目实施单位为完成工作目标计划安排的支出，一般以项目预算为参考。</w:t>
            </w:r>
          </w:p>
        </w:tc>
      </w:tr>
      <w:tr w14:paraId="1E5C7BE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1" w:hRule="atLeast"/>
          <w:jc w:val="center"/>
        </w:trPr>
        <w:tc>
          <w:tcPr>
            <w:tcW w:w="1155" w:type="dxa"/>
            <w:vMerge w:val="restart"/>
            <w:tcBorders>
              <w:tl2br w:val="nil"/>
              <w:tr2bl w:val="nil"/>
            </w:tcBorders>
            <w:shd w:val="clear" w:color="auto" w:fill="FFFFFF"/>
            <w:vAlign w:val="center"/>
          </w:tcPr>
          <w:p w14:paraId="47D1334B">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效益</w:t>
            </w:r>
          </w:p>
        </w:tc>
        <w:tc>
          <w:tcPr>
            <w:tcW w:w="1199" w:type="dxa"/>
            <w:vMerge w:val="restart"/>
            <w:tcBorders>
              <w:tl2br w:val="nil"/>
              <w:tr2bl w:val="nil"/>
            </w:tcBorders>
            <w:shd w:val="clear" w:color="auto" w:fill="FFFFFF"/>
            <w:vAlign w:val="center"/>
          </w:tcPr>
          <w:p w14:paraId="16DD1BB8">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社会效益指标</w:t>
            </w:r>
          </w:p>
        </w:tc>
        <w:tc>
          <w:tcPr>
            <w:tcW w:w="1411" w:type="dxa"/>
            <w:tcBorders>
              <w:tl2br w:val="nil"/>
              <w:tr2bl w:val="nil"/>
            </w:tcBorders>
            <w:shd w:val="clear" w:color="auto" w:fill="FFFFFF"/>
            <w:vAlign w:val="center"/>
          </w:tcPr>
          <w:p w14:paraId="02BAE4E6">
            <w:pPr>
              <w:widowControl/>
              <w:ind w:firstLine="0" w:firstLineChars="0"/>
              <w:jc w:val="center"/>
              <w:rPr>
                <w:rFonts w:ascii="宋体" w:hAnsi="宋体" w:eastAsia="宋体" w:cs="宋体"/>
                <w:color w:val="000000"/>
                <w:kern w:val="0"/>
                <w:sz w:val="22"/>
                <w:highlight w:val="none"/>
              </w:rPr>
            </w:pPr>
            <w:r>
              <w:rPr>
                <w:rFonts w:hint="eastAsia" w:ascii="宋体" w:hAnsi="宋体" w:eastAsia="宋体" w:cs="宋体"/>
                <w:color w:val="000000"/>
                <w:kern w:val="0"/>
                <w:sz w:val="22"/>
                <w:highlight w:val="none"/>
              </w:rPr>
              <w:t>保障场馆正常运转</w:t>
            </w:r>
          </w:p>
        </w:tc>
        <w:tc>
          <w:tcPr>
            <w:tcW w:w="2789" w:type="dxa"/>
            <w:vMerge w:val="restart"/>
            <w:tcBorders>
              <w:tl2br w:val="nil"/>
              <w:tr2bl w:val="nil"/>
            </w:tcBorders>
            <w:shd w:val="clear" w:color="auto" w:fill="FFFFFF"/>
            <w:vAlign w:val="center"/>
          </w:tcPr>
          <w:p w14:paraId="0C286D0B">
            <w:pPr>
              <w:widowControl/>
              <w:ind w:firstLine="0" w:firstLineChars="0"/>
              <w:jc w:val="left"/>
              <w:rPr>
                <w:rFonts w:ascii="宋体" w:hAnsi="宋体" w:eastAsia="宋体" w:cs="宋体"/>
                <w:color w:val="000000"/>
                <w:kern w:val="0"/>
                <w:sz w:val="22"/>
              </w:rPr>
            </w:pPr>
            <w:r>
              <w:rPr>
                <w:rFonts w:hint="eastAsia" w:ascii="宋体" w:hAnsi="宋体" w:eastAsia="宋体" w:cs="宋体"/>
                <w:color w:val="000000"/>
                <w:kern w:val="0"/>
                <w:sz w:val="22"/>
              </w:rPr>
              <w:t>项目实施所产生的效益。</w:t>
            </w:r>
          </w:p>
        </w:tc>
        <w:tc>
          <w:tcPr>
            <w:tcW w:w="7341" w:type="dxa"/>
            <w:vMerge w:val="restart"/>
            <w:tcBorders>
              <w:tl2br w:val="nil"/>
              <w:tr2bl w:val="nil"/>
            </w:tcBorders>
            <w:shd w:val="clear" w:color="auto" w:fill="FFFFFF"/>
            <w:vAlign w:val="center"/>
          </w:tcPr>
          <w:p w14:paraId="48F14E08">
            <w:pPr>
              <w:widowControl/>
              <w:ind w:firstLine="0" w:firstLineChars="0"/>
              <w:rPr>
                <w:rFonts w:ascii="宋体" w:hAnsi="宋体" w:eastAsia="宋体" w:cs="宋体"/>
                <w:color w:val="000000"/>
                <w:kern w:val="0"/>
                <w:sz w:val="22"/>
              </w:rPr>
            </w:pPr>
            <w:r>
              <w:rPr>
                <w:rFonts w:hint="eastAsia" w:ascii="宋体" w:hAnsi="宋体" w:eastAsia="宋体" w:cs="宋体"/>
                <w:color w:val="000000"/>
                <w:kern w:val="0"/>
                <w:sz w:val="22"/>
              </w:rPr>
              <w:t>项目实施所产生的社会效益、经济效益、生态效益、可持续影响等。可根据项目实际情况有选择地设置和细化。</w:t>
            </w:r>
          </w:p>
        </w:tc>
      </w:tr>
      <w:tr w14:paraId="5556D82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1" w:hRule="atLeast"/>
          <w:jc w:val="center"/>
        </w:trPr>
        <w:tc>
          <w:tcPr>
            <w:tcW w:w="1155" w:type="dxa"/>
            <w:vMerge w:val="continue"/>
            <w:tcBorders>
              <w:tl2br w:val="nil"/>
              <w:tr2bl w:val="nil"/>
            </w:tcBorders>
            <w:shd w:val="clear" w:color="auto" w:fill="FFFFFF"/>
            <w:vAlign w:val="center"/>
          </w:tcPr>
          <w:p w14:paraId="127CC682">
            <w:pPr>
              <w:widowControl/>
              <w:ind w:firstLine="0" w:firstLineChars="0"/>
              <w:jc w:val="center"/>
            </w:pPr>
          </w:p>
        </w:tc>
        <w:tc>
          <w:tcPr>
            <w:tcW w:w="1199" w:type="dxa"/>
            <w:vMerge w:val="continue"/>
            <w:tcBorders>
              <w:tl2br w:val="nil"/>
              <w:tr2bl w:val="nil"/>
            </w:tcBorders>
            <w:shd w:val="clear" w:color="auto" w:fill="FFFFFF"/>
            <w:vAlign w:val="center"/>
          </w:tcPr>
          <w:p w14:paraId="4046A208">
            <w:pPr>
              <w:widowControl/>
              <w:ind w:firstLine="0" w:firstLineChars="0"/>
              <w:jc w:val="center"/>
              <w:rPr>
                <w:highlight w:val="none"/>
              </w:rPr>
            </w:pPr>
          </w:p>
        </w:tc>
        <w:tc>
          <w:tcPr>
            <w:tcW w:w="1411" w:type="dxa"/>
            <w:tcBorders>
              <w:tl2br w:val="nil"/>
              <w:tr2bl w:val="nil"/>
            </w:tcBorders>
            <w:shd w:val="clear" w:color="auto" w:fill="FFFFFF"/>
            <w:vAlign w:val="center"/>
          </w:tcPr>
          <w:p w14:paraId="0B877457">
            <w:pPr>
              <w:widowControl/>
              <w:ind w:firstLine="0" w:firstLineChars="0"/>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lang w:eastAsia="zh-CN"/>
              </w:rPr>
              <w:t>加强社会稳定</w:t>
            </w:r>
          </w:p>
        </w:tc>
        <w:tc>
          <w:tcPr>
            <w:tcW w:w="2789" w:type="dxa"/>
            <w:vMerge w:val="continue"/>
            <w:tcBorders>
              <w:tl2br w:val="nil"/>
              <w:tr2bl w:val="nil"/>
            </w:tcBorders>
            <w:shd w:val="clear" w:color="auto" w:fill="FFFFFF"/>
            <w:vAlign w:val="center"/>
          </w:tcPr>
          <w:p w14:paraId="47A6B661">
            <w:pPr>
              <w:widowControl/>
              <w:ind w:firstLine="0" w:firstLineChars="0"/>
              <w:jc w:val="center"/>
              <w:rPr>
                <w:rFonts w:hint="eastAsia" w:ascii="宋体" w:hAnsi="宋体" w:eastAsia="宋体" w:cs="宋体"/>
                <w:color w:val="000000"/>
                <w:kern w:val="0"/>
                <w:sz w:val="22"/>
                <w:highlight w:val="yellow"/>
              </w:rPr>
            </w:pPr>
          </w:p>
        </w:tc>
        <w:tc>
          <w:tcPr>
            <w:tcW w:w="7341" w:type="dxa"/>
            <w:vMerge w:val="continue"/>
            <w:tcBorders>
              <w:tl2br w:val="nil"/>
              <w:tr2bl w:val="nil"/>
            </w:tcBorders>
            <w:shd w:val="clear" w:color="auto" w:fill="FFFFFF"/>
            <w:vAlign w:val="center"/>
          </w:tcPr>
          <w:p w14:paraId="4EEDD5DA">
            <w:pPr>
              <w:widowControl/>
              <w:ind w:firstLine="0" w:firstLineChars="0"/>
              <w:jc w:val="center"/>
              <w:rPr>
                <w:rFonts w:hint="eastAsia" w:ascii="宋体" w:hAnsi="宋体" w:eastAsia="宋体" w:cs="宋体"/>
                <w:color w:val="000000"/>
                <w:kern w:val="0"/>
                <w:sz w:val="22"/>
                <w:highlight w:val="yellow"/>
              </w:rPr>
            </w:pPr>
          </w:p>
        </w:tc>
      </w:tr>
      <w:tr w14:paraId="4E567E1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61" w:hRule="atLeast"/>
          <w:jc w:val="center"/>
        </w:trPr>
        <w:tc>
          <w:tcPr>
            <w:tcW w:w="1155" w:type="dxa"/>
            <w:tcBorders>
              <w:tl2br w:val="nil"/>
              <w:tr2bl w:val="nil"/>
            </w:tcBorders>
            <w:shd w:val="clear" w:color="auto" w:fill="FFFFFF"/>
            <w:vAlign w:val="center"/>
          </w:tcPr>
          <w:p w14:paraId="1AF9F45F">
            <w:pPr>
              <w:widowControl/>
              <w:ind w:firstLine="0" w:firstLineChars="0"/>
              <w:jc w:val="center"/>
              <w:rPr>
                <w:highlight w:val="none"/>
              </w:rPr>
            </w:pPr>
            <w:r>
              <w:rPr>
                <w:rFonts w:ascii="宋体" w:hAnsi="宋体" w:eastAsia="宋体" w:cs="宋体"/>
                <w:color w:val="000000"/>
                <w:kern w:val="0"/>
                <w:sz w:val="22"/>
                <w:highlight w:val="none"/>
              </w:rPr>
              <w:t>满意度指标完成情况分析</w:t>
            </w:r>
          </w:p>
        </w:tc>
        <w:tc>
          <w:tcPr>
            <w:tcW w:w="1199" w:type="dxa"/>
            <w:tcBorders>
              <w:tl2br w:val="nil"/>
              <w:tr2bl w:val="nil"/>
            </w:tcBorders>
            <w:shd w:val="clear" w:color="auto" w:fill="FFFFFF"/>
            <w:vAlign w:val="center"/>
          </w:tcPr>
          <w:p w14:paraId="2938B568">
            <w:pPr>
              <w:widowControl/>
              <w:ind w:firstLine="0" w:firstLineChars="0"/>
              <w:jc w:val="center"/>
              <w:rPr>
                <w:highlight w:val="none"/>
              </w:rPr>
            </w:pPr>
            <w:r>
              <w:rPr>
                <w:rFonts w:hint="eastAsia" w:ascii="宋体" w:hAnsi="宋体" w:eastAsia="宋体" w:cs="宋体"/>
                <w:color w:val="000000"/>
                <w:kern w:val="0"/>
                <w:sz w:val="22"/>
                <w:highlight w:val="none"/>
              </w:rPr>
              <w:t>满意度指标</w:t>
            </w:r>
          </w:p>
        </w:tc>
        <w:tc>
          <w:tcPr>
            <w:tcW w:w="1411" w:type="dxa"/>
            <w:tcBorders>
              <w:tl2br w:val="nil"/>
              <w:tr2bl w:val="nil"/>
            </w:tcBorders>
            <w:shd w:val="clear" w:color="auto" w:fill="FFFFFF"/>
            <w:vAlign w:val="center"/>
          </w:tcPr>
          <w:p w14:paraId="640E14DB">
            <w:pPr>
              <w:widowControl/>
              <w:ind w:firstLine="0" w:firstLineChars="0"/>
              <w:jc w:val="center"/>
              <w:rPr>
                <w:rFonts w:hint="eastAsia" w:ascii="宋体" w:hAnsi="宋体" w:eastAsia="宋体" w:cs="宋体"/>
                <w:color w:val="000000"/>
                <w:kern w:val="0"/>
                <w:sz w:val="22"/>
                <w:highlight w:val="none"/>
                <w:lang w:eastAsia="zh-CN"/>
              </w:rPr>
            </w:pPr>
            <w:r>
              <w:rPr>
                <w:rFonts w:hint="eastAsia" w:ascii="宋体" w:hAnsi="宋体" w:eastAsia="宋体" w:cs="宋体"/>
                <w:color w:val="000000"/>
                <w:kern w:val="0"/>
                <w:sz w:val="22"/>
                <w:highlight w:val="none"/>
              </w:rPr>
              <w:t>群众满意度</w:t>
            </w:r>
          </w:p>
        </w:tc>
        <w:tc>
          <w:tcPr>
            <w:tcW w:w="2789" w:type="dxa"/>
            <w:tcBorders>
              <w:tl2br w:val="nil"/>
              <w:tr2bl w:val="nil"/>
            </w:tcBorders>
            <w:shd w:val="clear" w:color="auto" w:fill="FFFFFF"/>
            <w:vAlign w:val="center"/>
          </w:tcPr>
          <w:p w14:paraId="5F7041CB">
            <w:pPr>
              <w:widowControl/>
              <w:ind w:firstLine="0" w:firstLineChars="0"/>
              <w:rPr>
                <w:rFonts w:hint="eastAsia" w:ascii="宋体" w:hAnsi="宋体" w:eastAsia="宋体" w:cs="宋体"/>
                <w:color w:val="000000"/>
                <w:kern w:val="0"/>
                <w:sz w:val="22"/>
                <w:highlight w:val="yellow"/>
              </w:rPr>
            </w:pPr>
            <w:r>
              <w:rPr>
                <w:rFonts w:hint="eastAsia" w:ascii="宋体" w:hAnsi="宋体" w:eastAsia="宋体" w:cs="宋体"/>
                <w:color w:val="000000"/>
                <w:kern w:val="0"/>
                <w:sz w:val="22"/>
              </w:rPr>
              <w:t>社会公众或服务对象对项目实施效果的满意程度。</w:t>
            </w:r>
          </w:p>
        </w:tc>
        <w:tc>
          <w:tcPr>
            <w:tcW w:w="7341" w:type="dxa"/>
            <w:tcBorders>
              <w:tl2br w:val="nil"/>
              <w:tr2bl w:val="nil"/>
            </w:tcBorders>
            <w:shd w:val="clear" w:color="auto" w:fill="FFFFFF"/>
            <w:vAlign w:val="center"/>
          </w:tcPr>
          <w:p w14:paraId="62EEF4A8">
            <w:pPr>
              <w:widowControl/>
              <w:ind w:firstLine="0" w:firstLineChars="0"/>
              <w:rPr>
                <w:rFonts w:hint="eastAsia" w:ascii="宋体" w:hAnsi="宋体" w:eastAsia="宋体" w:cs="宋体"/>
                <w:color w:val="000000"/>
                <w:kern w:val="0"/>
                <w:sz w:val="22"/>
                <w:highlight w:val="yellow"/>
              </w:rPr>
            </w:pPr>
            <w:r>
              <w:rPr>
                <w:rFonts w:hint="eastAsia" w:ascii="宋体" w:hAnsi="宋体" w:eastAsia="宋体" w:cs="宋体"/>
                <w:color w:val="000000"/>
                <w:kern w:val="0"/>
                <w:sz w:val="22"/>
              </w:rPr>
              <w:t>社会公众或服务对象是指因该项目实施而受到影响的部门（单位）、群体或个人。一般采取社会调查的方式。</w:t>
            </w:r>
          </w:p>
        </w:tc>
      </w:tr>
    </w:tbl>
    <w:p w14:paraId="2F8729B9">
      <w:pPr>
        <w:ind w:firstLine="0" w:firstLineChars="0"/>
        <w:jc w:val="center"/>
        <w:rPr>
          <w:rFonts w:ascii="仿宋_GB2312"/>
        </w:rPr>
      </w:pPr>
    </w:p>
    <w:p w14:paraId="463CA2FF">
      <w:pPr>
        <w:ind w:firstLine="0" w:firstLineChars="0"/>
        <w:jc w:val="center"/>
        <w:rPr>
          <w:rFonts w:ascii="仿宋_GB2312"/>
        </w:rPr>
      </w:pPr>
    </w:p>
    <w:p w14:paraId="7A0A910A">
      <w:pPr>
        <w:ind w:firstLine="0" w:firstLineChars="0"/>
        <w:jc w:val="center"/>
        <w:rPr>
          <w:rFonts w:ascii="仿宋_GB2312"/>
        </w:rPr>
      </w:pPr>
    </w:p>
    <w:p w14:paraId="45ECBB2A">
      <w:pPr>
        <w:ind w:firstLine="0" w:firstLineChars="0"/>
        <w:jc w:val="center"/>
        <w:rPr>
          <w:rFonts w:ascii="仿宋_GB2312"/>
        </w:rPr>
      </w:pPr>
    </w:p>
    <w:p w14:paraId="0D950A7F">
      <w:pPr>
        <w:ind w:firstLine="0" w:firstLineChars="0"/>
        <w:jc w:val="center"/>
        <w:rPr>
          <w:rFonts w:ascii="仿宋_GB2312"/>
        </w:rPr>
      </w:pPr>
    </w:p>
    <w:p w14:paraId="613A88B5">
      <w:pPr>
        <w:ind w:firstLine="0" w:firstLineChars="0"/>
        <w:jc w:val="center"/>
        <w:rPr>
          <w:rFonts w:ascii="仿宋_GB2312"/>
        </w:rPr>
        <w:sectPr>
          <w:footnotePr>
            <w:numFmt w:val="decimalEnclosedCircleChinese"/>
          </w:footnotePr>
          <w:pgSz w:w="16838" w:h="11906" w:orient="landscape"/>
          <w:pgMar w:top="1800" w:right="1440" w:bottom="1800" w:left="1440" w:header="1276" w:footer="992" w:gutter="0"/>
          <w:cols w:space="425" w:num="1"/>
          <w:docGrid w:type="lines" w:linePitch="381" w:charSpace="0"/>
        </w:sectPr>
      </w:pPr>
    </w:p>
    <w:p w14:paraId="7CEDACB0">
      <w:pPr>
        <w:pStyle w:val="4"/>
        <w:ind w:firstLine="643"/>
      </w:pPr>
      <w:bookmarkStart w:id="22" w:name="_Toc165277234"/>
      <w:bookmarkStart w:id="23" w:name="_Hlk67586038"/>
      <w:r>
        <w:t>3.</w:t>
      </w:r>
      <w:r>
        <w:rPr>
          <w:rFonts w:hint="eastAsia"/>
        </w:rPr>
        <w:t>评价方法</w:t>
      </w:r>
      <w:bookmarkEnd w:id="22"/>
    </w:p>
    <w:bookmarkEnd w:id="23"/>
    <w:p w14:paraId="0A760A8C">
      <w:pPr>
        <w:spacing w:line="360" w:lineRule="auto"/>
        <w:ind w:firstLine="560"/>
        <w:rPr>
          <w:rFonts w:ascii="仿宋_GB2312"/>
        </w:rPr>
      </w:pPr>
      <w:r>
        <w:rPr>
          <w:rFonts w:hint="eastAsia" w:ascii="仿宋_GB2312"/>
        </w:rPr>
        <w:t>《关于印发&lt;项目支出绩效评价管理办法&gt;的通知》（财预〔2020〕10号）文件指出部门评价的方法主要包括成本效益分析法、比较法、因素分析法、最低成本法、公众评判法、标杆管理法等。</w:t>
      </w:r>
    </w:p>
    <w:p w14:paraId="67CD37EC">
      <w:pPr>
        <w:spacing w:line="360" w:lineRule="auto"/>
        <w:ind w:firstLine="560"/>
        <w:rPr>
          <w:rFonts w:ascii="仿宋_GB2312"/>
        </w:rPr>
      </w:pPr>
      <w:r>
        <w:rPr>
          <w:rFonts w:hint="eastAsia" w:ascii="仿宋_GB2312"/>
        </w:rPr>
        <w:t>（1）成本效益分析法。是指将投入与产出、效益进行关联性分析的方法。</w:t>
      </w:r>
    </w:p>
    <w:p w14:paraId="59390D3F">
      <w:pPr>
        <w:spacing w:line="360" w:lineRule="auto"/>
        <w:ind w:firstLine="560"/>
        <w:rPr>
          <w:rFonts w:ascii="仿宋_GB2312"/>
        </w:rPr>
      </w:pPr>
      <w:r>
        <w:rPr>
          <w:rFonts w:hint="eastAsia" w:ascii="仿宋_GB2312"/>
        </w:rPr>
        <w:t>（2）比较法。是指将实施情况与绩效目标、历史情况、不同部门和地区同类支出情况进行比较的方法。</w:t>
      </w:r>
    </w:p>
    <w:p w14:paraId="054ADF80">
      <w:pPr>
        <w:spacing w:line="360" w:lineRule="auto"/>
        <w:ind w:firstLine="560"/>
        <w:rPr>
          <w:rFonts w:ascii="仿宋_GB2312"/>
        </w:rPr>
      </w:pPr>
      <w:r>
        <w:rPr>
          <w:rFonts w:hint="eastAsia" w:ascii="仿宋_GB2312"/>
        </w:rPr>
        <w:t>（3）因素分析法。是指综合分析影响绩效目标实现、实施效果的内外部因素的方法。</w:t>
      </w:r>
    </w:p>
    <w:p w14:paraId="7F39035D">
      <w:pPr>
        <w:spacing w:line="360" w:lineRule="auto"/>
        <w:ind w:firstLine="560"/>
        <w:rPr>
          <w:rFonts w:ascii="仿宋_GB2312"/>
        </w:rPr>
      </w:pPr>
      <w:r>
        <w:rPr>
          <w:rFonts w:hint="eastAsia" w:ascii="仿宋_GB2312"/>
        </w:rPr>
        <w:t>（4）最低成本法。是指在绩效目标确定的前提下，成本最小者为优的方法。</w:t>
      </w:r>
    </w:p>
    <w:p w14:paraId="7E0C8663">
      <w:pPr>
        <w:spacing w:line="360" w:lineRule="auto"/>
        <w:ind w:firstLine="560"/>
        <w:rPr>
          <w:rFonts w:ascii="仿宋_GB2312"/>
        </w:rPr>
      </w:pPr>
      <w:r>
        <w:rPr>
          <w:rFonts w:hint="eastAsia" w:ascii="仿宋_GB2312"/>
        </w:rPr>
        <w:t>（5）公众评判法。是指通过专家评估、公众问卷及抽样调查等方式进行评判的方法。</w:t>
      </w:r>
    </w:p>
    <w:p w14:paraId="4641244F">
      <w:pPr>
        <w:spacing w:line="360" w:lineRule="auto"/>
        <w:ind w:firstLine="560"/>
        <w:rPr>
          <w:rFonts w:ascii="仿宋_GB2312"/>
        </w:rPr>
      </w:pPr>
      <w:r>
        <w:rPr>
          <w:rFonts w:hint="eastAsia" w:ascii="仿宋_GB2312"/>
        </w:rPr>
        <w:t>（6）标杆管理法。是指以国内外同行业中较高的绩效水平为标杆进行评判的方法。</w:t>
      </w:r>
    </w:p>
    <w:p w14:paraId="4956CD9B">
      <w:pPr>
        <w:spacing w:line="360" w:lineRule="auto"/>
        <w:ind w:firstLine="560"/>
        <w:rPr>
          <w:rFonts w:ascii="仿宋_GB2312"/>
        </w:rPr>
      </w:pPr>
      <w:r>
        <w:rPr>
          <w:rFonts w:hint="eastAsia" w:ascii="仿宋_GB2312"/>
        </w:rPr>
        <w:t>（7）其他评价方法。</w:t>
      </w:r>
    </w:p>
    <w:p w14:paraId="73608767">
      <w:pPr>
        <w:spacing w:line="360" w:lineRule="auto"/>
        <w:ind w:firstLine="560"/>
        <w:rPr>
          <w:rFonts w:ascii="仿宋_GB2312"/>
        </w:rPr>
      </w:pPr>
      <w:r>
        <w:rPr>
          <w:rFonts w:hint="eastAsia" w:ascii="仿宋_GB2312"/>
        </w:rPr>
        <w:t>根据本项目（</w:t>
      </w:r>
      <w:r>
        <w:rPr>
          <w:rFonts w:hint="eastAsia" w:ascii="仿宋_GB2312"/>
          <w:lang w:eastAsia="zh-CN"/>
        </w:rPr>
        <w:t>保安人员经费项目</w:t>
      </w:r>
      <w:r>
        <w:rPr>
          <w:rFonts w:hint="eastAsia" w:ascii="仿宋_GB2312"/>
        </w:rPr>
        <w:t>）的特点，本次评价主要采用</w:t>
      </w:r>
      <w:r>
        <w:rPr>
          <w:rFonts w:hint="eastAsia" w:ascii="仿宋_GB2312"/>
          <w:lang w:eastAsia="zh-CN"/>
        </w:rPr>
        <w:t>比较法</w:t>
      </w:r>
      <w:r>
        <w:rPr>
          <w:rFonts w:ascii="仿宋_GB2312"/>
        </w:rPr>
        <w:t>和</w:t>
      </w:r>
      <w:r>
        <w:rPr>
          <w:rFonts w:hint="eastAsia" w:ascii="仿宋_GB2312"/>
          <w:lang w:eastAsia="zh-CN"/>
        </w:rPr>
        <w:t>公众评判法</w:t>
      </w:r>
      <w:r>
        <w:rPr>
          <w:rFonts w:hint="eastAsia" w:ascii="仿宋_GB2312"/>
        </w:rPr>
        <w:t>，对项目总预算和明细预算的内容、标准、计划是否经济合理进行深入分析，以考察实际产出和效益是否达到预期。</w:t>
      </w:r>
    </w:p>
    <w:p w14:paraId="730357C1">
      <w:pPr>
        <w:pStyle w:val="4"/>
        <w:ind w:firstLine="643"/>
      </w:pPr>
      <w:bookmarkStart w:id="24" w:name="_Toc165277235"/>
      <w:r>
        <w:t>4.</w:t>
      </w:r>
      <w:r>
        <w:rPr>
          <w:rFonts w:hint="eastAsia"/>
        </w:rPr>
        <w:t>评价标准</w:t>
      </w:r>
      <w:bookmarkEnd w:id="24"/>
    </w:p>
    <w:p w14:paraId="619582AE">
      <w:pPr>
        <w:spacing w:line="360" w:lineRule="auto"/>
        <w:ind w:firstLine="560"/>
        <w:rPr>
          <w:rFonts w:ascii="仿宋_GB2312"/>
        </w:rPr>
      </w:pPr>
      <w:r>
        <w:rPr>
          <w:rFonts w:hint="eastAsia" w:ascii="仿宋_GB2312"/>
        </w:rPr>
        <w:t>绩效评价标准主要包括计划标准、行业标准、历史标准等，用于对绩效指标完成情况进行比较。</w:t>
      </w:r>
    </w:p>
    <w:p w14:paraId="189A9F3C">
      <w:pPr>
        <w:spacing w:line="360" w:lineRule="auto"/>
        <w:ind w:firstLine="560"/>
        <w:rPr>
          <w:rFonts w:ascii="仿宋_GB2312"/>
        </w:rPr>
      </w:pPr>
      <w:r>
        <w:rPr>
          <w:rFonts w:hint="eastAsia" w:ascii="仿宋_GB2312"/>
        </w:rPr>
        <w:t>（1）计划标准。指以预先制定的目标、计划、预算、定额等作为评价标准。</w:t>
      </w:r>
    </w:p>
    <w:p w14:paraId="3D7EC9F4">
      <w:pPr>
        <w:spacing w:line="360" w:lineRule="auto"/>
        <w:ind w:firstLine="560"/>
        <w:rPr>
          <w:rFonts w:ascii="仿宋_GB2312"/>
        </w:rPr>
      </w:pPr>
      <w:r>
        <w:rPr>
          <w:rFonts w:hint="eastAsia" w:ascii="仿宋_GB2312"/>
        </w:rPr>
        <w:t>（2）行业标准。指参照国家公布的行业指标数据制定的评价标准。</w:t>
      </w:r>
    </w:p>
    <w:p w14:paraId="0FAA509E">
      <w:pPr>
        <w:spacing w:line="360" w:lineRule="auto"/>
        <w:ind w:firstLine="560"/>
        <w:rPr>
          <w:rFonts w:ascii="仿宋_GB2312"/>
        </w:rPr>
      </w:pPr>
      <w:r>
        <w:rPr>
          <w:rFonts w:hint="eastAsia" w:ascii="仿宋_GB2312"/>
        </w:rPr>
        <w:t>（3）历史标准。指参照历史数据制定的评价标准，为体现绩效改进的原则，在可实现的条件下应当确定相对较高的评价标准。</w:t>
      </w:r>
    </w:p>
    <w:p w14:paraId="09F38518">
      <w:pPr>
        <w:spacing w:line="360" w:lineRule="auto"/>
        <w:ind w:firstLine="560"/>
        <w:rPr>
          <w:rFonts w:ascii="仿宋_GB2312"/>
        </w:rPr>
      </w:pPr>
      <w:r>
        <w:rPr>
          <w:rFonts w:hint="eastAsia" w:ascii="仿宋_GB2312"/>
        </w:rPr>
        <w:t>在上述评价标准的基础上，本次评价依据以下文件为重要指导和准绳：</w:t>
      </w:r>
    </w:p>
    <w:p w14:paraId="4F0BC42D">
      <w:pPr>
        <w:spacing w:line="360" w:lineRule="auto"/>
        <w:ind w:firstLine="560"/>
        <w:rPr>
          <w:rFonts w:ascii="仿宋_GB2312"/>
        </w:rPr>
      </w:pPr>
      <w:r>
        <w:rPr>
          <w:rFonts w:hint="eastAsia" w:ascii="黑体" w:hAnsi="黑体" w:eastAsia="黑体" w:cs="Times New Roman"/>
          <w:szCs w:val="28"/>
        </w:rPr>
        <w:t>·</w:t>
      </w:r>
      <w:r>
        <w:rPr>
          <w:rFonts w:hint="eastAsia" w:ascii="仿宋_GB2312"/>
        </w:rPr>
        <w:t>《中共中央国务院关于全面实施预算绩效管理的意见》（中发〔2018〕34号）</w:t>
      </w:r>
    </w:p>
    <w:p w14:paraId="7E0AA43F">
      <w:pPr>
        <w:spacing w:line="360" w:lineRule="auto"/>
        <w:ind w:firstLine="560"/>
        <w:rPr>
          <w:rFonts w:ascii="仿宋_GB2312"/>
        </w:rPr>
      </w:pPr>
      <w:r>
        <w:rPr>
          <w:rFonts w:hint="eastAsia" w:ascii="黑体" w:hAnsi="黑体" w:eastAsia="黑体" w:cs="Times New Roman"/>
          <w:szCs w:val="28"/>
        </w:rPr>
        <w:t>·</w:t>
      </w:r>
      <w:r>
        <w:rPr>
          <w:rFonts w:hint="eastAsia" w:ascii="仿宋_GB2312"/>
        </w:rPr>
        <w:t>《关于印发&lt;乌鲁木齐市本级部门预算绩效目标管理暂行办法&gt;的通知》（乌财预〔2018〕56号）</w:t>
      </w:r>
    </w:p>
    <w:p w14:paraId="12FD5BCA">
      <w:pPr>
        <w:spacing w:line="360" w:lineRule="auto"/>
        <w:ind w:firstLine="560" w:firstLineChars="0"/>
        <w:rPr>
          <w:rFonts w:ascii="仿宋_GB2312"/>
        </w:rPr>
      </w:pPr>
      <w:r>
        <w:rPr>
          <w:rFonts w:hint="eastAsia" w:ascii="黑体" w:hAnsi="黑体" w:eastAsia="黑体" w:cs="Times New Roman"/>
          <w:szCs w:val="28"/>
        </w:rPr>
        <w:t>·</w:t>
      </w:r>
      <w:r>
        <w:rPr>
          <w:rFonts w:hint="eastAsia" w:ascii="仿宋_GB2312"/>
        </w:rPr>
        <w:t>《关于做好2019年部门预算项目支出绩效目标管理有关事宜的通知》（乌财预〔2018〕76号）</w:t>
      </w:r>
    </w:p>
    <w:p w14:paraId="0376FD05">
      <w:pPr>
        <w:spacing w:line="360" w:lineRule="auto"/>
        <w:ind w:firstLine="560"/>
        <w:rPr>
          <w:rFonts w:hint="eastAsia" w:ascii="仿宋_GB2312"/>
        </w:rPr>
      </w:pPr>
      <w:r>
        <w:rPr>
          <w:rFonts w:hint="eastAsia" w:ascii="黑体" w:hAnsi="黑体" w:eastAsia="黑体" w:cs="Times New Roman"/>
          <w:szCs w:val="28"/>
        </w:rPr>
        <w:t>·</w:t>
      </w:r>
      <w:r>
        <w:rPr>
          <w:rFonts w:hint="eastAsia" w:ascii="仿宋_GB2312"/>
        </w:rPr>
        <w:t>《项目支出绩效评价管理办法》（财预〔2020〕10号）</w:t>
      </w:r>
    </w:p>
    <w:p w14:paraId="3BB6BDC4">
      <w:pPr>
        <w:spacing w:line="360" w:lineRule="auto"/>
        <w:ind w:firstLine="560"/>
        <w:rPr>
          <w:rFonts w:hint="eastAsia" w:ascii="仿宋_GB2312"/>
          <w:highlight w:val="none"/>
        </w:rPr>
      </w:pPr>
      <w:r>
        <w:rPr>
          <w:rFonts w:hint="eastAsia" w:ascii="黑体" w:hAnsi="黑体" w:eastAsia="黑体" w:cs="Times New Roman"/>
          <w:szCs w:val="28"/>
          <w:highlight w:val="none"/>
        </w:rPr>
        <w:t>·</w:t>
      </w:r>
      <w:r>
        <w:rPr>
          <w:rFonts w:hint="eastAsia" w:ascii="仿宋_GB2312"/>
          <w:highlight w:val="none"/>
        </w:rPr>
        <w:t>《</w:t>
      </w:r>
      <w:r>
        <w:rPr>
          <w:rFonts w:hint="eastAsia" w:ascii="仿宋_GB2312"/>
          <w:highlight w:val="none"/>
          <w:lang w:eastAsia="zh-CN"/>
        </w:rPr>
        <w:t>关于2023年市本级部门预算的批复</w:t>
      </w:r>
      <w:r>
        <w:rPr>
          <w:rFonts w:hint="eastAsia" w:ascii="仿宋_GB2312"/>
          <w:highlight w:val="none"/>
        </w:rPr>
        <w:t>》（乌财科教【2023】2号）</w:t>
      </w:r>
    </w:p>
    <w:p w14:paraId="7361C3A7">
      <w:pPr>
        <w:spacing w:line="360" w:lineRule="auto"/>
        <w:ind w:firstLine="560"/>
        <w:rPr>
          <w:rFonts w:hint="eastAsia" w:ascii="仿宋_GB2312"/>
          <w:highlight w:val="none"/>
        </w:rPr>
      </w:pPr>
      <w:r>
        <w:rPr>
          <w:rFonts w:hint="eastAsia" w:ascii="黑体" w:hAnsi="黑体" w:eastAsia="黑体" w:cs="Times New Roman"/>
          <w:szCs w:val="28"/>
          <w:highlight w:val="none"/>
        </w:rPr>
        <w:t>·</w:t>
      </w:r>
      <w:r>
        <w:rPr>
          <w:rFonts w:hint="eastAsia" w:ascii="仿宋_GB2312"/>
          <w:highlight w:val="none"/>
        </w:rPr>
        <w:t>《</w:t>
      </w:r>
      <w:r>
        <w:rPr>
          <w:rFonts w:hint="eastAsia" w:ascii="宋体" w:hAnsi="宋体"/>
          <w:color w:val="333333"/>
          <w:sz w:val="28"/>
          <w:szCs w:val="28"/>
          <w:highlight w:val="none"/>
          <w:shd w:val="clear" w:color="auto" w:fill="FCFCFC"/>
        </w:rPr>
        <w:t>文化行业人员密集场所安全防范规范手册</w:t>
      </w:r>
      <w:r>
        <w:rPr>
          <w:rFonts w:hint="eastAsia" w:ascii="仿宋_GB2312"/>
          <w:highlight w:val="none"/>
        </w:rPr>
        <w:t>》</w:t>
      </w:r>
    </w:p>
    <w:p w14:paraId="57A70823">
      <w:pPr>
        <w:spacing w:line="360" w:lineRule="auto"/>
        <w:ind w:firstLine="560"/>
        <w:rPr>
          <w:rFonts w:ascii="仿宋_GB2312"/>
          <w:highlight w:val="none"/>
        </w:rPr>
      </w:pPr>
      <w:r>
        <w:rPr>
          <w:rFonts w:hint="eastAsia" w:ascii="黑体" w:hAnsi="黑体" w:eastAsia="黑体" w:cs="Times New Roman"/>
          <w:szCs w:val="28"/>
          <w:highlight w:val="none"/>
        </w:rPr>
        <w:t>·</w:t>
      </w:r>
      <w:r>
        <w:rPr>
          <w:rFonts w:hint="eastAsia" w:ascii="仿宋_GB2312"/>
          <w:highlight w:val="none"/>
        </w:rPr>
        <w:t>《</w:t>
      </w:r>
      <w:r>
        <w:rPr>
          <w:rFonts w:hint="eastAsia" w:ascii="仿宋_GB2312"/>
          <w:highlight w:val="none"/>
          <w:lang w:val="en-US" w:eastAsia="zh-CN"/>
        </w:rPr>
        <w:t>国家文物保护资金管理办法</w:t>
      </w:r>
      <w:r>
        <w:rPr>
          <w:rFonts w:hint="eastAsia" w:ascii="仿宋_GB2312"/>
          <w:highlight w:val="none"/>
        </w:rPr>
        <w:t>》</w:t>
      </w:r>
    </w:p>
    <w:p w14:paraId="372A13A7">
      <w:pPr>
        <w:pStyle w:val="3"/>
        <w:ind w:firstLine="643"/>
        <w:rPr>
          <w:rFonts w:ascii="仿宋" w:hAnsi="仿宋" w:eastAsia="仿宋"/>
          <w:lang w:bidi="en-US"/>
        </w:rPr>
      </w:pPr>
      <w:r>
        <w:rPr>
          <w:rFonts w:hint="eastAsia" w:ascii="仿宋" w:hAnsi="仿宋" w:eastAsia="仿宋"/>
          <w:lang w:bidi="en-US"/>
        </w:rPr>
        <w:t>（三）绩效评价工作过程</w:t>
      </w:r>
    </w:p>
    <w:p w14:paraId="6C54D37A">
      <w:pPr>
        <w:spacing w:line="360" w:lineRule="auto"/>
        <w:ind w:firstLine="560"/>
        <w:rPr>
          <w:rFonts w:ascii="仿宋_GB2312"/>
        </w:rPr>
      </w:pPr>
      <w:r>
        <w:rPr>
          <w:rFonts w:hint="eastAsia" w:ascii="仿宋_GB2312"/>
        </w:rPr>
        <w:t>评价小组根据项目绩效目标，查阅有关佐证资料，结合现场抽样调查及延伸评价等方式开展此次评价，重点关注和评价项目预算和绩效目标的匹配情况、项目资金的管理和使用情况、项目实施和监督情况（包括但不限于项目立项、制度执行、质量达标、完成时效等）以及项目产生的实际效益等。具体而言，通过前期准备</w:t>
      </w:r>
      <w:r>
        <w:rPr>
          <w:rStyle w:val="20"/>
          <w:rFonts w:ascii="仿宋_GB2312"/>
        </w:rPr>
        <w:footnoteReference w:id="0"/>
      </w:r>
      <w:r>
        <w:rPr>
          <w:rFonts w:hint="eastAsia" w:ascii="仿宋_GB2312"/>
        </w:rPr>
        <w:t>、材料审核分析、现场核查评价、综合分析评价及报告撰写，评价项目实施情况，展现资金使用效益。</w:t>
      </w:r>
    </w:p>
    <w:p w14:paraId="384CE2A1">
      <w:pPr>
        <w:pStyle w:val="2"/>
        <w:ind w:firstLine="0" w:firstLineChars="0"/>
        <w:jc w:val="left"/>
        <w:rPr>
          <w:rFonts w:ascii="仿宋" w:hAnsi="仿宋" w:eastAsia="仿宋"/>
          <w:sz w:val="36"/>
          <w:szCs w:val="36"/>
          <w:lang w:bidi="en-US"/>
        </w:rPr>
      </w:pPr>
      <w:bookmarkStart w:id="25" w:name="_Toc165277237"/>
      <w:bookmarkStart w:id="26" w:name="_Toc67911608"/>
      <w:r>
        <w:rPr>
          <w:rFonts w:hint="eastAsia" w:ascii="仿宋" w:hAnsi="仿宋" w:eastAsia="仿宋"/>
          <w:sz w:val="36"/>
          <w:szCs w:val="36"/>
          <w:lang w:bidi="en-US"/>
        </w:rPr>
        <w:t>三、综合评价情况及评价结论</w:t>
      </w:r>
      <w:bookmarkEnd w:id="25"/>
      <w:bookmarkEnd w:id="26"/>
    </w:p>
    <w:p w14:paraId="103A3E38">
      <w:pPr>
        <w:pStyle w:val="3"/>
        <w:ind w:firstLine="643"/>
        <w:rPr>
          <w:rFonts w:ascii="仿宋" w:hAnsi="仿宋" w:eastAsia="仿宋"/>
          <w:lang w:bidi="en-US"/>
        </w:rPr>
      </w:pPr>
      <w:bookmarkStart w:id="27" w:name="_Toc67911609"/>
      <w:bookmarkStart w:id="28" w:name="_Toc165277238"/>
      <w:r>
        <w:rPr>
          <w:rFonts w:hint="eastAsia" w:ascii="仿宋" w:hAnsi="仿宋" w:eastAsia="仿宋"/>
          <w:lang w:bidi="en-US"/>
        </w:rPr>
        <w:t>（一）评价结论</w:t>
      </w:r>
      <w:bookmarkEnd w:id="27"/>
      <w:bookmarkEnd w:id="28"/>
    </w:p>
    <w:p w14:paraId="028F1B72">
      <w:pPr>
        <w:spacing w:line="360" w:lineRule="auto"/>
        <w:ind w:firstLine="560"/>
        <w:rPr>
          <w:rFonts w:ascii="仿宋_GB2312"/>
          <w:szCs w:val="28"/>
        </w:rPr>
      </w:pPr>
      <w:r>
        <w:rPr>
          <w:rFonts w:hint="eastAsia" w:ascii="仿宋_GB2312"/>
          <w:szCs w:val="28"/>
        </w:rPr>
        <w:t>结合项目特点，制定符合项目实际的绩效评价指标体系及评分标准，通过数据采集、问卷调查及访谈等形式，对2</w:t>
      </w:r>
      <w:r>
        <w:rPr>
          <w:rFonts w:ascii="仿宋_GB2312"/>
          <w:szCs w:val="28"/>
        </w:rPr>
        <w:t>023</w:t>
      </w:r>
      <w:r>
        <w:rPr>
          <w:rFonts w:hint="eastAsia" w:ascii="仿宋_GB2312"/>
          <w:szCs w:val="28"/>
        </w:rPr>
        <w:t>年</w:t>
      </w:r>
      <w:r>
        <w:rPr>
          <w:rFonts w:hint="eastAsia" w:ascii="仿宋_GB2312"/>
        </w:rPr>
        <w:t>乌鲁木齐市博物馆（乌鲁木齐市革命历史纪念地管理中心）</w:t>
      </w:r>
      <w:r>
        <w:rPr>
          <w:rFonts w:hint="eastAsia" w:ascii="仿宋_GB2312"/>
          <w:szCs w:val="28"/>
          <w:lang w:eastAsia="zh-CN"/>
        </w:rPr>
        <w:t>保安人员经费项目</w:t>
      </w:r>
      <w:r>
        <w:rPr>
          <w:rFonts w:hint="eastAsia" w:ascii="仿宋_GB2312"/>
          <w:szCs w:val="28"/>
        </w:rPr>
        <w:t>进行客观评价，最终评分结果为：总分为</w:t>
      </w:r>
      <w:r>
        <w:rPr>
          <w:rFonts w:hint="eastAsia" w:ascii="仿宋_GB2312"/>
          <w:szCs w:val="28"/>
          <w:lang w:val="en-US" w:eastAsia="zh-CN"/>
        </w:rPr>
        <w:t>100</w:t>
      </w:r>
      <w:r>
        <w:rPr>
          <w:rFonts w:hint="eastAsia" w:ascii="仿宋_GB2312"/>
          <w:szCs w:val="28"/>
        </w:rPr>
        <w:t>分，绩效评级为“</w:t>
      </w:r>
      <w:r>
        <w:rPr>
          <w:rFonts w:hint="eastAsia" w:ascii="仿宋_GB2312"/>
          <w:szCs w:val="28"/>
          <w:lang w:eastAsia="zh-CN"/>
        </w:rPr>
        <w:t>优</w:t>
      </w:r>
      <w:r>
        <w:rPr>
          <w:rFonts w:hint="eastAsia" w:ascii="仿宋_GB2312"/>
          <w:szCs w:val="28"/>
        </w:rPr>
        <w:t>”</w:t>
      </w:r>
      <w:r>
        <w:rPr>
          <w:rStyle w:val="20"/>
          <w:rFonts w:ascii="仿宋_GB2312"/>
          <w:szCs w:val="28"/>
        </w:rPr>
        <w:footnoteReference w:id="1"/>
      </w:r>
      <w:r>
        <w:rPr>
          <w:rFonts w:hint="eastAsia" w:ascii="仿宋_GB2312"/>
          <w:szCs w:val="28"/>
        </w:rPr>
        <w:t>。</w:t>
      </w:r>
    </w:p>
    <w:p w14:paraId="40D28A66">
      <w:pPr>
        <w:spacing w:line="360" w:lineRule="auto"/>
        <w:ind w:firstLine="560"/>
        <w:rPr>
          <w:rFonts w:ascii="仿宋_GB2312"/>
          <w:szCs w:val="28"/>
          <w:highlight w:val="none"/>
        </w:rPr>
      </w:pPr>
      <w:r>
        <w:rPr>
          <w:rFonts w:hint="eastAsia" w:ascii="仿宋_GB2312"/>
          <w:szCs w:val="28"/>
          <w:highlight w:val="none"/>
        </w:rPr>
        <w:t>项目各部分权重和绩效分值如附表所示：</w:t>
      </w:r>
    </w:p>
    <w:p w14:paraId="6E599921">
      <w:pPr>
        <w:spacing w:line="360" w:lineRule="auto"/>
        <w:ind w:firstLine="0" w:firstLineChars="0"/>
        <w:jc w:val="center"/>
        <w:rPr>
          <w:rFonts w:ascii="仿宋_GB2312"/>
          <w:b/>
          <w:bCs/>
          <w:szCs w:val="28"/>
        </w:rPr>
      </w:pPr>
      <w:r>
        <w:rPr>
          <w:rFonts w:ascii="仿宋_GB2312"/>
          <w:b/>
          <w:bCs/>
          <w:szCs w:val="28"/>
        </w:rPr>
        <w:t xml:space="preserve">  </w:t>
      </w:r>
      <w:r>
        <w:rPr>
          <w:rFonts w:hint="eastAsia" w:ascii="仿宋_GB2312"/>
          <w:b/>
          <w:bCs/>
          <w:szCs w:val="28"/>
        </w:rPr>
        <w:t>项目各部分权重和绩效分值</w:t>
      </w:r>
    </w:p>
    <w:tbl>
      <w:tblPr>
        <w:tblStyle w:val="15"/>
        <w:tblW w:w="9062" w:type="dxa"/>
        <w:jc w:val="center"/>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Layout w:type="fixed"/>
        <w:tblCellMar>
          <w:top w:w="0" w:type="dxa"/>
          <w:left w:w="108" w:type="dxa"/>
          <w:bottom w:w="0" w:type="dxa"/>
          <w:right w:w="108" w:type="dxa"/>
        </w:tblCellMar>
      </w:tblPr>
      <w:tblGrid>
        <w:gridCol w:w="1550"/>
        <w:gridCol w:w="1984"/>
        <w:gridCol w:w="2693"/>
        <w:gridCol w:w="898"/>
        <w:gridCol w:w="898"/>
        <w:gridCol w:w="1039"/>
      </w:tblGrid>
      <w:tr w14:paraId="5191AA1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tblHeader/>
          <w:jc w:val="center"/>
        </w:trPr>
        <w:tc>
          <w:tcPr>
            <w:tcW w:w="1550" w:type="dxa"/>
            <w:tcBorders>
              <w:tl2br w:val="nil"/>
              <w:tr2bl w:val="nil"/>
            </w:tcBorders>
            <w:shd w:val="clear" w:color="auto" w:fill="D0CECE" w:themeFill="background2" w:themeFillShade="E6"/>
            <w:vAlign w:val="center"/>
          </w:tcPr>
          <w:p w14:paraId="1646D7AB">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一级指标</w:t>
            </w:r>
          </w:p>
        </w:tc>
        <w:tc>
          <w:tcPr>
            <w:tcW w:w="1984" w:type="dxa"/>
            <w:tcBorders>
              <w:tl2br w:val="nil"/>
              <w:tr2bl w:val="nil"/>
            </w:tcBorders>
            <w:shd w:val="clear" w:color="auto" w:fill="D0CECE" w:themeFill="background2" w:themeFillShade="E6"/>
            <w:vAlign w:val="center"/>
          </w:tcPr>
          <w:p w14:paraId="21BAEE3B">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二级指标</w:t>
            </w:r>
          </w:p>
        </w:tc>
        <w:tc>
          <w:tcPr>
            <w:tcW w:w="2693" w:type="dxa"/>
            <w:tcBorders>
              <w:tl2br w:val="nil"/>
              <w:tr2bl w:val="nil"/>
            </w:tcBorders>
            <w:shd w:val="clear" w:color="auto" w:fill="D0CECE" w:themeFill="background2" w:themeFillShade="E6"/>
            <w:vAlign w:val="center"/>
          </w:tcPr>
          <w:p w14:paraId="37691C1F">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三级指标</w:t>
            </w:r>
          </w:p>
        </w:tc>
        <w:tc>
          <w:tcPr>
            <w:tcW w:w="898" w:type="dxa"/>
            <w:tcBorders>
              <w:tl2br w:val="nil"/>
              <w:tr2bl w:val="nil"/>
            </w:tcBorders>
            <w:shd w:val="clear" w:color="auto" w:fill="D0CECE" w:themeFill="background2" w:themeFillShade="E6"/>
            <w:vAlign w:val="center"/>
          </w:tcPr>
          <w:p w14:paraId="3F8F1006">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分值</w:t>
            </w:r>
          </w:p>
        </w:tc>
        <w:tc>
          <w:tcPr>
            <w:tcW w:w="898" w:type="dxa"/>
            <w:tcBorders>
              <w:tl2br w:val="nil"/>
              <w:tr2bl w:val="nil"/>
            </w:tcBorders>
            <w:shd w:val="clear" w:color="auto" w:fill="D0CECE" w:themeFill="background2" w:themeFillShade="E6"/>
            <w:vAlign w:val="center"/>
          </w:tcPr>
          <w:p w14:paraId="5834E7C5">
            <w:pPr>
              <w:widowControl/>
              <w:ind w:firstLine="0" w:firstLineChars="0"/>
              <w:jc w:val="center"/>
              <w:rPr>
                <w:rFonts w:ascii="仿宋_GB2312" w:hAnsi="宋体" w:cs="宋体"/>
                <w:b/>
                <w:bCs/>
                <w:kern w:val="0"/>
                <w:sz w:val="24"/>
                <w:szCs w:val="24"/>
              </w:rPr>
            </w:pPr>
            <w:r>
              <w:rPr>
                <w:rFonts w:hint="eastAsia" w:ascii="仿宋_GB2312" w:hAnsi="宋体" w:cs="宋体"/>
                <w:b/>
                <w:bCs/>
                <w:kern w:val="0"/>
                <w:sz w:val="24"/>
                <w:szCs w:val="24"/>
              </w:rPr>
              <w:t>得分</w:t>
            </w:r>
          </w:p>
        </w:tc>
        <w:tc>
          <w:tcPr>
            <w:tcW w:w="1039" w:type="dxa"/>
            <w:tcBorders>
              <w:tl2br w:val="nil"/>
              <w:tr2bl w:val="nil"/>
            </w:tcBorders>
            <w:shd w:val="clear" w:color="auto" w:fill="D0CECE" w:themeFill="background2" w:themeFillShade="E6"/>
            <w:vAlign w:val="center"/>
          </w:tcPr>
          <w:p w14:paraId="37C4AF17">
            <w:pPr>
              <w:widowControl/>
              <w:ind w:firstLine="0" w:firstLineChars="0"/>
              <w:jc w:val="center"/>
              <w:rPr>
                <w:rFonts w:ascii="仿宋_GB2312" w:hAnsi="Gungsuh" w:cs="宋体"/>
                <w:b/>
                <w:bCs/>
                <w:kern w:val="0"/>
                <w:sz w:val="24"/>
                <w:szCs w:val="24"/>
              </w:rPr>
            </w:pPr>
            <w:r>
              <w:rPr>
                <w:rFonts w:hint="eastAsia" w:ascii="仿宋_GB2312" w:hAnsi="Gungsuh" w:cs="宋体"/>
                <w:b/>
                <w:bCs/>
                <w:kern w:val="0"/>
                <w:sz w:val="24"/>
                <w:szCs w:val="24"/>
              </w:rPr>
              <w:t>得分率</w:t>
            </w:r>
          </w:p>
        </w:tc>
      </w:tr>
      <w:tr w14:paraId="714800B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14:paraId="6AC3283D">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决策</w:t>
            </w:r>
          </w:p>
        </w:tc>
        <w:tc>
          <w:tcPr>
            <w:tcW w:w="1984" w:type="dxa"/>
            <w:vMerge w:val="restart"/>
            <w:tcBorders>
              <w:tl2br w:val="nil"/>
              <w:tr2bl w:val="nil"/>
            </w:tcBorders>
            <w:shd w:val="clear" w:color="auto" w:fill="FFFFFF"/>
            <w:vAlign w:val="center"/>
          </w:tcPr>
          <w:p w14:paraId="6F44D758">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项目立项</w:t>
            </w:r>
          </w:p>
        </w:tc>
        <w:tc>
          <w:tcPr>
            <w:tcW w:w="2693" w:type="dxa"/>
            <w:tcBorders>
              <w:tl2br w:val="nil"/>
              <w:tr2bl w:val="nil"/>
            </w:tcBorders>
            <w:shd w:val="clear" w:color="auto" w:fill="FFFFFF"/>
            <w:vAlign w:val="center"/>
          </w:tcPr>
          <w:p w14:paraId="4C12FA70">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立项依据充分性</w:t>
            </w:r>
          </w:p>
        </w:tc>
        <w:tc>
          <w:tcPr>
            <w:tcW w:w="898" w:type="dxa"/>
            <w:tcBorders>
              <w:tl2br w:val="nil"/>
              <w:tr2bl w:val="nil"/>
            </w:tcBorders>
            <w:shd w:val="clear" w:color="auto" w:fill="FFFFFF"/>
            <w:vAlign w:val="center"/>
          </w:tcPr>
          <w:p w14:paraId="625A3187">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auto" w:fill="FFFFFF"/>
            <w:vAlign w:val="center"/>
          </w:tcPr>
          <w:p w14:paraId="1CA0B79C">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4</w:t>
            </w:r>
          </w:p>
        </w:tc>
        <w:tc>
          <w:tcPr>
            <w:tcW w:w="1039" w:type="dxa"/>
            <w:tcBorders>
              <w:tl2br w:val="nil"/>
              <w:tr2bl w:val="nil"/>
            </w:tcBorders>
            <w:shd w:val="clear" w:color="auto" w:fill="FFFFFF"/>
            <w:vAlign w:val="center"/>
          </w:tcPr>
          <w:p w14:paraId="51ACD2C3">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100%</w:t>
            </w:r>
          </w:p>
        </w:tc>
      </w:tr>
      <w:tr w14:paraId="4EB46A8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00287C49">
            <w:pPr>
              <w:ind w:firstLine="48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14:paraId="5F949315">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456A6D9A">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立项程序规范性</w:t>
            </w:r>
          </w:p>
        </w:tc>
        <w:tc>
          <w:tcPr>
            <w:tcW w:w="898" w:type="dxa"/>
            <w:tcBorders>
              <w:tl2br w:val="nil"/>
              <w:tr2bl w:val="nil"/>
            </w:tcBorders>
            <w:shd w:val="clear" w:color="auto" w:fill="FFFFFF"/>
            <w:vAlign w:val="center"/>
          </w:tcPr>
          <w:p w14:paraId="38A352AD">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auto" w:fill="FFFFFF"/>
            <w:vAlign w:val="center"/>
          </w:tcPr>
          <w:p w14:paraId="2B3F42DC">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4</w:t>
            </w:r>
          </w:p>
        </w:tc>
        <w:tc>
          <w:tcPr>
            <w:tcW w:w="1039" w:type="dxa"/>
            <w:tcBorders>
              <w:tl2br w:val="nil"/>
              <w:tr2bl w:val="nil"/>
            </w:tcBorders>
            <w:shd w:val="clear" w:color="auto" w:fill="FFFFFF"/>
            <w:vAlign w:val="center"/>
          </w:tcPr>
          <w:p w14:paraId="34F56E29">
            <w:pPr>
              <w:widowControl/>
              <w:ind w:left="0" w:leftChars="0"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100%</w:t>
            </w:r>
          </w:p>
        </w:tc>
      </w:tr>
      <w:tr w14:paraId="060DD1D9">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79509F3E">
            <w:pPr>
              <w:ind w:firstLine="48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14:paraId="431A6C19">
            <w:pPr>
              <w:ind w:firstLine="0" w:firstLineChars="0"/>
              <w:jc w:val="center"/>
              <w:rPr>
                <w:rFonts w:ascii="仿宋_GB2312" w:hAnsi="宋体" w:cs="宋体"/>
                <w:kern w:val="0"/>
                <w:sz w:val="24"/>
                <w:szCs w:val="24"/>
              </w:rPr>
            </w:pPr>
            <w:r>
              <w:rPr>
                <w:rFonts w:hint="eastAsia" w:ascii="仿宋_GB2312" w:hAnsi="宋体" w:cs="宋体"/>
                <w:kern w:val="0"/>
                <w:sz w:val="24"/>
                <w:szCs w:val="24"/>
              </w:rPr>
              <w:t>绩效目标</w:t>
            </w:r>
          </w:p>
        </w:tc>
        <w:tc>
          <w:tcPr>
            <w:tcW w:w="2693" w:type="dxa"/>
            <w:tcBorders>
              <w:tl2br w:val="nil"/>
              <w:tr2bl w:val="nil"/>
            </w:tcBorders>
            <w:shd w:val="clear" w:color="auto" w:fill="FFFFFF"/>
            <w:vAlign w:val="center"/>
          </w:tcPr>
          <w:p w14:paraId="07FF0210">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绩效目标合理性</w:t>
            </w:r>
          </w:p>
        </w:tc>
        <w:tc>
          <w:tcPr>
            <w:tcW w:w="898" w:type="dxa"/>
            <w:tcBorders>
              <w:tl2br w:val="nil"/>
              <w:tr2bl w:val="nil"/>
            </w:tcBorders>
            <w:shd w:val="clear" w:color="000000" w:fill="FFFFFF"/>
            <w:vAlign w:val="center"/>
          </w:tcPr>
          <w:p w14:paraId="611DDAD2">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14:paraId="124FE62B">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3</w:t>
            </w:r>
          </w:p>
        </w:tc>
        <w:tc>
          <w:tcPr>
            <w:tcW w:w="1039" w:type="dxa"/>
            <w:tcBorders>
              <w:tl2br w:val="nil"/>
              <w:tr2bl w:val="nil"/>
            </w:tcBorders>
            <w:shd w:val="clear" w:color="000000" w:fill="FFFFFF"/>
            <w:vAlign w:val="center"/>
          </w:tcPr>
          <w:p w14:paraId="703F3936">
            <w:pPr>
              <w:widowControl/>
              <w:ind w:left="0" w:leftChars="0"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6961B89F">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013B3BCE">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14:paraId="1C9120F4">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0379F43F">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绩效指标明确性</w:t>
            </w:r>
          </w:p>
        </w:tc>
        <w:tc>
          <w:tcPr>
            <w:tcW w:w="898" w:type="dxa"/>
            <w:tcBorders>
              <w:tl2br w:val="nil"/>
              <w:tr2bl w:val="nil"/>
            </w:tcBorders>
            <w:shd w:val="clear" w:color="000000" w:fill="FFFFFF"/>
            <w:vAlign w:val="center"/>
          </w:tcPr>
          <w:p w14:paraId="333E6E04">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14:paraId="130F4DC8">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3</w:t>
            </w:r>
          </w:p>
        </w:tc>
        <w:tc>
          <w:tcPr>
            <w:tcW w:w="1039" w:type="dxa"/>
            <w:tcBorders>
              <w:tl2br w:val="nil"/>
              <w:tr2bl w:val="nil"/>
            </w:tcBorders>
            <w:shd w:val="clear" w:color="000000" w:fill="FFFFFF"/>
            <w:vAlign w:val="center"/>
          </w:tcPr>
          <w:p w14:paraId="431CEC7A">
            <w:pPr>
              <w:widowControl/>
              <w:ind w:left="0" w:leftChars="0"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290FFC4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31E7CCD7">
            <w:pPr>
              <w:ind w:firstLine="0" w:firstLineChars="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14:paraId="153788AF">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资金投入</w:t>
            </w:r>
          </w:p>
        </w:tc>
        <w:tc>
          <w:tcPr>
            <w:tcW w:w="2693" w:type="dxa"/>
            <w:tcBorders>
              <w:tl2br w:val="nil"/>
              <w:tr2bl w:val="nil"/>
            </w:tcBorders>
            <w:shd w:val="clear" w:color="auto" w:fill="FFFFFF"/>
            <w:vAlign w:val="center"/>
          </w:tcPr>
          <w:p w14:paraId="53079C15">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预算编制科学性</w:t>
            </w:r>
          </w:p>
        </w:tc>
        <w:tc>
          <w:tcPr>
            <w:tcW w:w="898" w:type="dxa"/>
            <w:tcBorders>
              <w:tl2br w:val="nil"/>
              <w:tr2bl w:val="nil"/>
            </w:tcBorders>
            <w:shd w:val="clear" w:color="auto" w:fill="FFFFFF"/>
            <w:vAlign w:val="center"/>
          </w:tcPr>
          <w:p w14:paraId="60B17048">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auto" w:fill="FFFFFF"/>
            <w:vAlign w:val="center"/>
          </w:tcPr>
          <w:p w14:paraId="68143AA7">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3</w:t>
            </w:r>
          </w:p>
        </w:tc>
        <w:tc>
          <w:tcPr>
            <w:tcW w:w="1039" w:type="dxa"/>
            <w:tcBorders>
              <w:tl2br w:val="nil"/>
              <w:tr2bl w:val="nil"/>
            </w:tcBorders>
            <w:shd w:val="clear" w:color="auto" w:fill="FFFFFF"/>
            <w:vAlign w:val="center"/>
          </w:tcPr>
          <w:p w14:paraId="169F6D63">
            <w:pPr>
              <w:widowControl/>
              <w:ind w:left="0" w:leftChars="0"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026CABDD">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9D3D900">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14:paraId="5871EE46">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026DDB0C">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资金分配合理性</w:t>
            </w:r>
          </w:p>
        </w:tc>
        <w:tc>
          <w:tcPr>
            <w:tcW w:w="898" w:type="dxa"/>
            <w:tcBorders>
              <w:tl2br w:val="nil"/>
              <w:tr2bl w:val="nil"/>
            </w:tcBorders>
            <w:shd w:val="clear" w:color="auto" w:fill="FFFFFF"/>
            <w:vAlign w:val="center"/>
          </w:tcPr>
          <w:p w14:paraId="71DDF7CA">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auto" w:fill="FFFFFF"/>
            <w:vAlign w:val="center"/>
          </w:tcPr>
          <w:p w14:paraId="48898B3C">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3</w:t>
            </w:r>
          </w:p>
        </w:tc>
        <w:tc>
          <w:tcPr>
            <w:tcW w:w="1039" w:type="dxa"/>
            <w:tcBorders>
              <w:tl2br w:val="nil"/>
              <w:tr2bl w:val="nil"/>
            </w:tcBorders>
            <w:shd w:val="clear" w:color="auto" w:fill="FFFFFF"/>
            <w:vAlign w:val="center"/>
          </w:tcPr>
          <w:p w14:paraId="064994E6">
            <w:pPr>
              <w:widowControl/>
              <w:ind w:left="0" w:leftChars="0"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5B33AB76">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restart"/>
            <w:tcBorders>
              <w:tl2br w:val="nil"/>
              <w:tr2bl w:val="nil"/>
            </w:tcBorders>
            <w:shd w:val="clear" w:color="auto" w:fill="FFFFFF"/>
            <w:vAlign w:val="center"/>
          </w:tcPr>
          <w:p w14:paraId="6EEAF821">
            <w:pPr>
              <w:ind w:firstLine="0" w:firstLineChars="0"/>
              <w:jc w:val="center"/>
              <w:rPr>
                <w:rFonts w:ascii="仿宋_GB2312" w:hAnsi="宋体" w:cs="宋体"/>
                <w:kern w:val="0"/>
                <w:sz w:val="24"/>
                <w:szCs w:val="24"/>
              </w:rPr>
            </w:pPr>
            <w:r>
              <w:rPr>
                <w:rFonts w:hint="eastAsia" w:ascii="仿宋_GB2312" w:hAnsi="宋体" w:cs="宋体"/>
                <w:kern w:val="0"/>
                <w:sz w:val="24"/>
                <w:szCs w:val="24"/>
              </w:rPr>
              <w:t>过程</w:t>
            </w:r>
          </w:p>
        </w:tc>
        <w:tc>
          <w:tcPr>
            <w:tcW w:w="1984" w:type="dxa"/>
            <w:vMerge w:val="restart"/>
            <w:tcBorders>
              <w:tl2br w:val="nil"/>
              <w:tr2bl w:val="nil"/>
            </w:tcBorders>
            <w:shd w:val="clear" w:color="auto" w:fill="FFFFFF"/>
            <w:vAlign w:val="center"/>
          </w:tcPr>
          <w:p w14:paraId="16091DF9">
            <w:pPr>
              <w:ind w:firstLine="0" w:firstLineChars="0"/>
              <w:jc w:val="center"/>
              <w:rPr>
                <w:rFonts w:ascii="仿宋_GB2312" w:hAnsi="宋体" w:cs="宋体"/>
                <w:kern w:val="0"/>
                <w:sz w:val="24"/>
                <w:szCs w:val="24"/>
              </w:rPr>
            </w:pPr>
            <w:r>
              <w:rPr>
                <w:rFonts w:hint="eastAsia" w:ascii="仿宋_GB2312" w:hAnsi="宋体" w:cs="宋体"/>
                <w:kern w:val="0"/>
                <w:sz w:val="24"/>
                <w:szCs w:val="24"/>
              </w:rPr>
              <w:t>资金管理</w:t>
            </w:r>
          </w:p>
        </w:tc>
        <w:tc>
          <w:tcPr>
            <w:tcW w:w="2693" w:type="dxa"/>
            <w:tcBorders>
              <w:tl2br w:val="nil"/>
              <w:tr2bl w:val="nil"/>
            </w:tcBorders>
            <w:shd w:val="clear" w:color="auto" w:fill="FFFFFF"/>
            <w:vAlign w:val="center"/>
          </w:tcPr>
          <w:p w14:paraId="0F14E1F8">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资金到位率</w:t>
            </w:r>
          </w:p>
        </w:tc>
        <w:tc>
          <w:tcPr>
            <w:tcW w:w="898" w:type="dxa"/>
            <w:tcBorders>
              <w:tl2br w:val="nil"/>
              <w:tr2bl w:val="nil"/>
            </w:tcBorders>
            <w:shd w:val="clear" w:color="000000" w:fill="FFFFFF"/>
            <w:vAlign w:val="center"/>
          </w:tcPr>
          <w:p w14:paraId="3CDB3B9E">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898" w:type="dxa"/>
            <w:tcBorders>
              <w:tl2br w:val="nil"/>
              <w:tr2bl w:val="nil"/>
            </w:tcBorders>
            <w:shd w:val="clear" w:color="000000" w:fill="FFFFFF"/>
            <w:vAlign w:val="center"/>
          </w:tcPr>
          <w:p w14:paraId="4486DC51">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5</w:t>
            </w:r>
          </w:p>
        </w:tc>
        <w:tc>
          <w:tcPr>
            <w:tcW w:w="1039" w:type="dxa"/>
            <w:tcBorders>
              <w:tl2br w:val="nil"/>
              <w:tr2bl w:val="nil"/>
            </w:tcBorders>
            <w:shd w:val="clear" w:color="000000" w:fill="FFFFFF"/>
            <w:vAlign w:val="center"/>
          </w:tcPr>
          <w:p w14:paraId="2A1976C6">
            <w:pPr>
              <w:widowControl/>
              <w:ind w:left="0" w:leftChars="0"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68E9C80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347BF190">
            <w:pPr>
              <w:ind w:firstLine="48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14:paraId="237C562F">
            <w:pPr>
              <w:ind w:firstLine="48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5746E747">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预算执行率</w:t>
            </w:r>
          </w:p>
        </w:tc>
        <w:tc>
          <w:tcPr>
            <w:tcW w:w="898" w:type="dxa"/>
            <w:tcBorders>
              <w:tl2br w:val="nil"/>
              <w:tr2bl w:val="nil"/>
            </w:tcBorders>
            <w:shd w:val="clear" w:color="auto" w:fill="FFFFFF"/>
            <w:vAlign w:val="center"/>
          </w:tcPr>
          <w:p w14:paraId="33F17D43">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5</w:t>
            </w:r>
          </w:p>
        </w:tc>
        <w:tc>
          <w:tcPr>
            <w:tcW w:w="898" w:type="dxa"/>
            <w:tcBorders>
              <w:tl2br w:val="nil"/>
              <w:tr2bl w:val="nil"/>
            </w:tcBorders>
            <w:shd w:val="clear" w:color="auto" w:fill="FFFFFF"/>
            <w:vAlign w:val="center"/>
          </w:tcPr>
          <w:p w14:paraId="7F7E7892">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5</w:t>
            </w:r>
          </w:p>
        </w:tc>
        <w:tc>
          <w:tcPr>
            <w:tcW w:w="1039" w:type="dxa"/>
            <w:tcBorders>
              <w:tl2br w:val="nil"/>
              <w:tr2bl w:val="nil"/>
            </w:tcBorders>
            <w:shd w:val="clear" w:color="auto" w:fill="FFFFFF"/>
            <w:vAlign w:val="center"/>
          </w:tcPr>
          <w:p w14:paraId="4BF78DC6">
            <w:pPr>
              <w:widowControl/>
              <w:ind w:left="0" w:leftChars="0"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7BEEFF3C">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0A3A1A02">
            <w:pPr>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14:paraId="5C0BB0CF">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61DB1BB4">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资金使用合规性</w:t>
            </w:r>
          </w:p>
        </w:tc>
        <w:tc>
          <w:tcPr>
            <w:tcW w:w="898" w:type="dxa"/>
            <w:tcBorders>
              <w:tl2br w:val="nil"/>
              <w:tr2bl w:val="nil"/>
            </w:tcBorders>
            <w:shd w:val="clear" w:color="000000" w:fill="FFFFFF"/>
            <w:vAlign w:val="center"/>
          </w:tcPr>
          <w:p w14:paraId="4E9FDCFA">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14:paraId="69481B38">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3</w:t>
            </w:r>
          </w:p>
        </w:tc>
        <w:tc>
          <w:tcPr>
            <w:tcW w:w="1039" w:type="dxa"/>
            <w:tcBorders>
              <w:tl2br w:val="nil"/>
              <w:tr2bl w:val="nil"/>
            </w:tcBorders>
            <w:shd w:val="clear" w:color="000000" w:fill="FFFFFF"/>
            <w:vAlign w:val="center"/>
          </w:tcPr>
          <w:p w14:paraId="24675C39">
            <w:pPr>
              <w:widowControl/>
              <w:ind w:left="0" w:leftChars="0"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248F856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00E32C5A">
            <w:pPr>
              <w:ind w:firstLine="0" w:firstLineChars="0"/>
              <w:jc w:val="center"/>
              <w:rPr>
                <w:rFonts w:ascii="仿宋_GB2312" w:hAnsi="宋体" w:cs="宋体"/>
                <w:kern w:val="0"/>
                <w:sz w:val="24"/>
                <w:szCs w:val="24"/>
              </w:rPr>
            </w:pPr>
          </w:p>
        </w:tc>
        <w:tc>
          <w:tcPr>
            <w:tcW w:w="1984" w:type="dxa"/>
            <w:vMerge w:val="restart"/>
            <w:tcBorders>
              <w:tl2br w:val="nil"/>
              <w:tr2bl w:val="nil"/>
            </w:tcBorders>
            <w:shd w:val="clear" w:color="auto" w:fill="FFFFFF"/>
            <w:vAlign w:val="center"/>
          </w:tcPr>
          <w:p w14:paraId="7AD36998">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组织实施</w:t>
            </w:r>
          </w:p>
        </w:tc>
        <w:tc>
          <w:tcPr>
            <w:tcW w:w="2693" w:type="dxa"/>
            <w:tcBorders>
              <w:tl2br w:val="nil"/>
              <w:tr2bl w:val="nil"/>
            </w:tcBorders>
            <w:shd w:val="clear" w:color="auto" w:fill="FFFFFF"/>
            <w:vAlign w:val="center"/>
          </w:tcPr>
          <w:p w14:paraId="69B3C43F">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管理制度健全性</w:t>
            </w:r>
          </w:p>
        </w:tc>
        <w:tc>
          <w:tcPr>
            <w:tcW w:w="898" w:type="dxa"/>
            <w:tcBorders>
              <w:tl2br w:val="nil"/>
              <w:tr2bl w:val="nil"/>
            </w:tcBorders>
            <w:shd w:val="clear" w:color="000000" w:fill="FFFFFF"/>
            <w:vAlign w:val="center"/>
          </w:tcPr>
          <w:p w14:paraId="029BE69D">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14:paraId="224B40BF">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3</w:t>
            </w:r>
          </w:p>
        </w:tc>
        <w:tc>
          <w:tcPr>
            <w:tcW w:w="1039" w:type="dxa"/>
            <w:tcBorders>
              <w:tl2br w:val="nil"/>
              <w:tr2bl w:val="nil"/>
            </w:tcBorders>
            <w:shd w:val="clear" w:color="000000" w:fill="FFFFFF"/>
            <w:vAlign w:val="center"/>
          </w:tcPr>
          <w:p w14:paraId="36954A45">
            <w:pPr>
              <w:widowControl/>
              <w:ind w:left="0" w:leftChars="0"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55F2D74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07DF029C">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14:paraId="0C063592">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vAlign w:val="center"/>
          </w:tcPr>
          <w:p w14:paraId="3FB9B747">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制度执行有效性</w:t>
            </w:r>
          </w:p>
        </w:tc>
        <w:tc>
          <w:tcPr>
            <w:tcW w:w="898" w:type="dxa"/>
            <w:tcBorders>
              <w:tl2br w:val="nil"/>
              <w:tr2bl w:val="nil"/>
            </w:tcBorders>
            <w:shd w:val="clear" w:color="000000" w:fill="FFFFFF"/>
            <w:vAlign w:val="center"/>
          </w:tcPr>
          <w:p w14:paraId="06F540DD">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000000" w:fill="FFFFFF"/>
            <w:vAlign w:val="center"/>
          </w:tcPr>
          <w:p w14:paraId="5DBAFDC8">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4</w:t>
            </w:r>
          </w:p>
        </w:tc>
        <w:tc>
          <w:tcPr>
            <w:tcW w:w="1039" w:type="dxa"/>
            <w:tcBorders>
              <w:tl2br w:val="nil"/>
              <w:tr2bl w:val="nil"/>
            </w:tcBorders>
            <w:shd w:val="clear" w:color="000000" w:fill="FFFFFF"/>
            <w:vAlign w:val="center"/>
          </w:tcPr>
          <w:p w14:paraId="3C6029A1">
            <w:pPr>
              <w:widowControl/>
              <w:ind w:left="0" w:leftChars="0"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75309824">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8" w:hRule="atLeast"/>
          <w:jc w:val="center"/>
        </w:trPr>
        <w:tc>
          <w:tcPr>
            <w:tcW w:w="1550" w:type="dxa"/>
            <w:vMerge w:val="restart"/>
            <w:tcBorders>
              <w:tl2br w:val="nil"/>
              <w:tr2bl w:val="nil"/>
            </w:tcBorders>
            <w:shd w:val="clear" w:color="auto" w:fill="FFFFFF"/>
            <w:vAlign w:val="center"/>
          </w:tcPr>
          <w:p w14:paraId="470952B7">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w:t>
            </w:r>
          </w:p>
        </w:tc>
        <w:tc>
          <w:tcPr>
            <w:tcW w:w="1984" w:type="dxa"/>
            <w:vMerge w:val="restart"/>
            <w:tcBorders>
              <w:tl2br w:val="nil"/>
              <w:tr2bl w:val="nil"/>
            </w:tcBorders>
            <w:shd w:val="clear" w:color="auto" w:fill="FFFFFF"/>
            <w:vAlign w:val="center"/>
          </w:tcPr>
          <w:p w14:paraId="57B8F752">
            <w:pPr>
              <w:widowControl/>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产出数量</w:t>
            </w:r>
          </w:p>
        </w:tc>
        <w:tc>
          <w:tcPr>
            <w:tcW w:w="2693" w:type="dxa"/>
            <w:tcBorders>
              <w:tl2br w:val="nil"/>
              <w:tr2bl w:val="nil"/>
            </w:tcBorders>
            <w:shd w:val="clear" w:color="auto" w:fill="FFFFFF"/>
          </w:tcPr>
          <w:p w14:paraId="127888E4">
            <w:pPr>
              <w:widowControl/>
              <w:ind w:firstLine="0" w:firstLineChars="0"/>
              <w:jc w:val="center"/>
              <w:rPr>
                <w:rFonts w:hint="eastAsia" w:ascii="仿宋_GB2312" w:hAnsi="宋体" w:eastAsia="仿宋_GB2312" w:cs="宋体"/>
                <w:kern w:val="0"/>
                <w:sz w:val="24"/>
                <w:szCs w:val="24"/>
                <w:highlight w:val="none"/>
                <w:lang w:eastAsia="zh-CN"/>
              </w:rPr>
            </w:pPr>
            <w:r>
              <w:rPr>
                <w:rFonts w:hint="eastAsia" w:ascii="宋体" w:hAnsi="宋体" w:eastAsia="宋体" w:cs="宋体"/>
                <w:color w:val="000000"/>
                <w:kern w:val="0"/>
                <w:sz w:val="22"/>
                <w:highlight w:val="none"/>
                <w:lang w:eastAsia="zh-CN"/>
              </w:rPr>
              <w:t>聘用保安岗位数</w:t>
            </w:r>
          </w:p>
        </w:tc>
        <w:tc>
          <w:tcPr>
            <w:tcW w:w="898" w:type="dxa"/>
            <w:tcBorders>
              <w:tl2br w:val="nil"/>
              <w:tr2bl w:val="nil"/>
            </w:tcBorders>
            <w:shd w:val="clear" w:color="000000" w:fill="FFFFFF"/>
            <w:vAlign w:val="center"/>
          </w:tcPr>
          <w:p w14:paraId="7A820A92">
            <w:pPr>
              <w:widowControl/>
              <w:ind w:firstLine="0" w:firstLineChars="0"/>
              <w:jc w:val="center"/>
              <w:rPr>
                <w:rFonts w:ascii="仿宋_GB2312" w:hAnsi="宋体" w:cs="宋体"/>
                <w:kern w:val="0"/>
                <w:sz w:val="24"/>
                <w:szCs w:val="24"/>
              </w:rPr>
            </w:pPr>
            <w:r>
              <w:rPr>
                <w:rFonts w:ascii="仿宋_GB2312" w:hAnsi="宋体" w:cs="宋体"/>
                <w:kern w:val="0"/>
                <w:sz w:val="24"/>
                <w:szCs w:val="24"/>
              </w:rPr>
              <w:t>3</w:t>
            </w:r>
          </w:p>
        </w:tc>
        <w:tc>
          <w:tcPr>
            <w:tcW w:w="898" w:type="dxa"/>
            <w:tcBorders>
              <w:tl2br w:val="nil"/>
              <w:tr2bl w:val="nil"/>
            </w:tcBorders>
            <w:shd w:val="clear" w:color="000000" w:fill="FFFFFF"/>
            <w:vAlign w:val="center"/>
          </w:tcPr>
          <w:p w14:paraId="567E0625">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3</w:t>
            </w:r>
          </w:p>
        </w:tc>
        <w:tc>
          <w:tcPr>
            <w:tcW w:w="1039" w:type="dxa"/>
            <w:vMerge w:val="restart"/>
            <w:tcBorders>
              <w:tl2br w:val="nil"/>
              <w:tr2bl w:val="nil"/>
            </w:tcBorders>
            <w:shd w:val="clear" w:color="000000" w:fill="FFFFFF"/>
            <w:vAlign w:val="center"/>
          </w:tcPr>
          <w:p w14:paraId="7C084EE0">
            <w:pPr>
              <w:widowControl/>
              <w:ind w:firstLine="0" w:firstLineChars="0"/>
              <w:jc w:val="center"/>
              <w:rPr>
                <w:rFonts w:hint="default" w:ascii="仿宋_GB2312" w:hAnsi="宋体" w:eastAsia="仿宋_GB2312" w:cs="宋体"/>
                <w:kern w:val="0"/>
                <w:sz w:val="24"/>
                <w:szCs w:val="24"/>
                <w:highlight w:val="yellow"/>
                <w:lang w:val="en-US" w:eastAsia="zh-CN"/>
              </w:rPr>
            </w:pPr>
            <w:r>
              <w:rPr>
                <w:rFonts w:hint="eastAsia" w:ascii="仿宋_GB2312" w:hAnsi="宋体" w:cs="宋体"/>
                <w:kern w:val="0"/>
                <w:sz w:val="24"/>
                <w:szCs w:val="24"/>
                <w:highlight w:val="none"/>
                <w:lang w:val="en-US" w:eastAsia="zh-CN"/>
              </w:rPr>
              <w:t>100%</w:t>
            </w:r>
          </w:p>
        </w:tc>
      </w:tr>
      <w:tr w14:paraId="3DBDAFDE">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14:paraId="30A438F8">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14:paraId="572C141B">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tcPr>
          <w:p w14:paraId="5F2F3C33">
            <w:pPr>
              <w:widowControl/>
              <w:ind w:firstLine="0" w:firstLineChars="0"/>
              <w:jc w:val="center"/>
              <w:rPr>
                <w:rFonts w:hint="eastAsia" w:ascii="仿宋_GB2312" w:hAnsi="宋体" w:eastAsia="仿宋_GB2312" w:cs="宋体"/>
                <w:kern w:val="0"/>
                <w:sz w:val="24"/>
                <w:szCs w:val="24"/>
                <w:lang w:eastAsia="zh-CN"/>
              </w:rPr>
            </w:pPr>
            <w:r>
              <w:rPr>
                <w:rFonts w:hint="eastAsia" w:ascii="仿宋_GB2312" w:hAnsi="宋体" w:cs="宋体"/>
                <w:kern w:val="0"/>
                <w:sz w:val="24"/>
                <w:szCs w:val="24"/>
                <w:lang w:eastAsia="zh-CN"/>
              </w:rPr>
              <w:t>安保培训、演练次数</w:t>
            </w:r>
          </w:p>
        </w:tc>
        <w:tc>
          <w:tcPr>
            <w:tcW w:w="898" w:type="dxa"/>
            <w:tcBorders>
              <w:tl2br w:val="nil"/>
              <w:tr2bl w:val="nil"/>
            </w:tcBorders>
            <w:shd w:val="clear" w:color="000000" w:fill="FFFFFF"/>
            <w:vAlign w:val="center"/>
          </w:tcPr>
          <w:p w14:paraId="444A792E">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3</w:t>
            </w:r>
          </w:p>
        </w:tc>
        <w:tc>
          <w:tcPr>
            <w:tcW w:w="898" w:type="dxa"/>
            <w:tcBorders>
              <w:tl2br w:val="nil"/>
              <w:tr2bl w:val="nil"/>
            </w:tcBorders>
            <w:shd w:val="clear" w:color="000000" w:fill="FFFFFF"/>
            <w:vAlign w:val="center"/>
          </w:tcPr>
          <w:p w14:paraId="281C9DCB">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3</w:t>
            </w:r>
          </w:p>
        </w:tc>
        <w:tc>
          <w:tcPr>
            <w:tcW w:w="1039" w:type="dxa"/>
            <w:vMerge w:val="continue"/>
            <w:tcBorders>
              <w:tl2br w:val="nil"/>
              <w:tr2bl w:val="nil"/>
            </w:tcBorders>
            <w:shd w:val="clear" w:color="000000" w:fill="FFFFFF"/>
            <w:vAlign w:val="center"/>
          </w:tcPr>
          <w:p w14:paraId="4F8929DE">
            <w:pPr>
              <w:widowControl/>
              <w:ind w:firstLine="0" w:firstLineChars="0"/>
              <w:jc w:val="center"/>
              <w:rPr>
                <w:rFonts w:ascii="仿宋_GB2312" w:hAnsi="宋体" w:cs="宋体"/>
                <w:kern w:val="0"/>
                <w:sz w:val="24"/>
                <w:szCs w:val="24"/>
              </w:rPr>
            </w:pPr>
          </w:p>
        </w:tc>
      </w:tr>
      <w:tr w14:paraId="5100E3B1">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146" w:hRule="atLeast"/>
          <w:jc w:val="center"/>
        </w:trPr>
        <w:tc>
          <w:tcPr>
            <w:tcW w:w="1550" w:type="dxa"/>
            <w:vMerge w:val="continue"/>
            <w:tcBorders>
              <w:tl2br w:val="nil"/>
              <w:tr2bl w:val="nil"/>
            </w:tcBorders>
            <w:shd w:val="clear" w:color="auto" w:fill="FFFFFF"/>
            <w:vAlign w:val="center"/>
          </w:tcPr>
          <w:p w14:paraId="59837D32">
            <w:pPr>
              <w:widowControl/>
              <w:ind w:firstLine="0" w:firstLineChars="0"/>
              <w:jc w:val="center"/>
              <w:rPr>
                <w:rFonts w:ascii="仿宋_GB2312" w:hAnsi="宋体" w:cs="宋体"/>
                <w:kern w:val="0"/>
                <w:sz w:val="24"/>
                <w:szCs w:val="24"/>
              </w:rPr>
            </w:pPr>
          </w:p>
        </w:tc>
        <w:tc>
          <w:tcPr>
            <w:tcW w:w="1984" w:type="dxa"/>
            <w:vMerge w:val="continue"/>
            <w:tcBorders>
              <w:tl2br w:val="nil"/>
              <w:tr2bl w:val="nil"/>
            </w:tcBorders>
            <w:shd w:val="clear" w:color="auto" w:fill="FFFFFF"/>
            <w:vAlign w:val="center"/>
          </w:tcPr>
          <w:p w14:paraId="087DC599">
            <w:pPr>
              <w:widowControl/>
              <w:ind w:firstLine="0" w:firstLineChars="0"/>
              <w:jc w:val="center"/>
              <w:rPr>
                <w:rFonts w:ascii="仿宋_GB2312" w:hAnsi="宋体" w:cs="宋体"/>
                <w:kern w:val="0"/>
                <w:sz w:val="24"/>
                <w:szCs w:val="24"/>
              </w:rPr>
            </w:pPr>
          </w:p>
        </w:tc>
        <w:tc>
          <w:tcPr>
            <w:tcW w:w="2693" w:type="dxa"/>
            <w:tcBorders>
              <w:tl2br w:val="nil"/>
              <w:tr2bl w:val="nil"/>
            </w:tcBorders>
            <w:shd w:val="clear" w:color="auto" w:fill="FFFFFF"/>
          </w:tcPr>
          <w:p w14:paraId="09EDF369">
            <w:pPr>
              <w:widowControl/>
              <w:ind w:firstLine="0" w:firstLineChars="0"/>
              <w:jc w:val="center"/>
              <w:rPr>
                <w:rFonts w:hint="eastAsia" w:ascii="仿宋_GB2312" w:hAnsi="宋体" w:eastAsia="仿宋_GB2312" w:cs="宋体"/>
                <w:kern w:val="0"/>
                <w:sz w:val="24"/>
                <w:szCs w:val="24"/>
                <w:lang w:eastAsia="zh-CN"/>
              </w:rPr>
            </w:pPr>
            <w:r>
              <w:rPr>
                <w:rFonts w:hint="eastAsia" w:ascii="宋体" w:hAnsi="宋体" w:eastAsia="宋体" w:cs="宋体"/>
                <w:color w:val="000000"/>
                <w:kern w:val="0"/>
                <w:sz w:val="22"/>
                <w:lang w:eastAsia="zh-CN"/>
              </w:rPr>
              <w:t>全年完成工作时间</w:t>
            </w:r>
          </w:p>
        </w:tc>
        <w:tc>
          <w:tcPr>
            <w:tcW w:w="898" w:type="dxa"/>
            <w:tcBorders>
              <w:tl2br w:val="nil"/>
              <w:tr2bl w:val="nil"/>
            </w:tcBorders>
            <w:shd w:val="clear" w:color="000000" w:fill="FFFFFF"/>
            <w:vAlign w:val="center"/>
          </w:tcPr>
          <w:p w14:paraId="03C3DDD5">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4</w:t>
            </w:r>
          </w:p>
        </w:tc>
        <w:tc>
          <w:tcPr>
            <w:tcW w:w="898" w:type="dxa"/>
            <w:tcBorders>
              <w:tl2br w:val="nil"/>
              <w:tr2bl w:val="nil"/>
            </w:tcBorders>
            <w:shd w:val="clear" w:color="000000" w:fill="FFFFFF"/>
            <w:vAlign w:val="center"/>
          </w:tcPr>
          <w:p w14:paraId="19DD9647">
            <w:pPr>
              <w:widowControl/>
              <w:ind w:firstLine="0" w:firstLineChars="0"/>
              <w:jc w:val="center"/>
              <w:rPr>
                <w:rFonts w:hint="eastAsia"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4</w:t>
            </w:r>
          </w:p>
        </w:tc>
        <w:tc>
          <w:tcPr>
            <w:tcW w:w="1039" w:type="dxa"/>
            <w:vMerge w:val="continue"/>
            <w:tcBorders>
              <w:tl2br w:val="nil"/>
              <w:tr2bl w:val="nil"/>
            </w:tcBorders>
            <w:shd w:val="clear" w:color="000000" w:fill="FFFFFF"/>
            <w:vAlign w:val="center"/>
          </w:tcPr>
          <w:p w14:paraId="4229C278">
            <w:pPr>
              <w:widowControl/>
              <w:ind w:firstLine="0" w:firstLineChars="0"/>
              <w:jc w:val="center"/>
              <w:rPr>
                <w:rFonts w:ascii="仿宋_GB2312" w:hAnsi="宋体" w:cs="宋体"/>
                <w:kern w:val="0"/>
                <w:sz w:val="24"/>
                <w:szCs w:val="24"/>
              </w:rPr>
            </w:pPr>
          </w:p>
        </w:tc>
      </w:tr>
      <w:tr w14:paraId="6C3903F0">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60424701">
            <w:pPr>
              <w:widowControl/>
              <w:ind w:firstLine="0" w:firstLineChars="0"/>
              <w:jc w:val="center"/>
              <w:rPr>
                <w:rFonts w:ascii="仿宋_GB2312" w:hAnsi="宋体" w:cs="宋体"/>
                <w:kern w:val="0"/>
                <w:sz w:val="24"/>
                <w:szCs w:val="24"/>
              </w:rPr>
            </w:pPr>
          </w:p>
        </w:tc>
        <w:tc>
          <w:tcPr>
            <w:tcW w:w="1984" w:type="dxa"/>
            <w:tcBorders>
              <w:tl2br w:val="nil"/>
              <w:tr2bl w:val="nil"/>
            </w:tcBorders>
            <w:shd w:val="clear" w:color="auto" w:fill="FFFFFF"/>
            <w:vAlign w:val="center"/>
          </w:tcPr>
          <w:p w14:paraId="314C757C">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产出质量</w:t>
            </w:r>
          </w:p>
        </w:tc>
        <w:tc>
          <w:tcPr>
            <w:tcW w:w="2693" w:type="dxa"/>
            <w:tcBorders>
              <w:tl2br w:val="nil"/>
              <w:tr2bl w:val="nil"/>
            </w:tcBorders>
            <w:shd w:val="clear" w:color="auto" w:fill="FFFFFF"/>
            <w:vAlign w:val="center"/>
          </w:tcPr>
          <w:p w14:paraId="1F487F6F">
            <w:pPr>
              <w:widowControl/>
              <w:ind w:firstLine="0" w:firstLineChars="0"/>
              <w:jc w:val="center"/>
              <w:rPr>
                <w:rFonts w:hint="eastAsia" w:ascii="仿宋_GB2312" w:hAnsi="宋体" w:eastAsia="仿宋_GB2312" w:cs="宋体"/>
                <w:kern w:val="0"/>
                <w:sz w:val="24"/>
                <w:szCs w:val="24"/>
                <w:lang w:eastAsia="zh-CN"/>
              </w:rPr>
            </w:pPr>
            <w:r>
              <w:rPr>
                <w:rFonts w:hint="eastAsia" w:ascii="宋体" w:hAnsi="宋体" w:eastAsia="宋体" w:cs="宋体"/>
                <w:color w:val="000000"/>
                <w:kern w:val="0"/>
                <w:sz w:val="22"/>
                <w:lang w:eastAsia="zh-CN"/>
              </w:rPr>
              <w:t>安保人员持证上岗率</w:t>
            </w:r>
          </w:p>
        </w:tc>
        <w:tc>
          <w:tcPr>
            <w:tcW w:w="898" w:type="dxa"/>
            <w:tcBorders>
              <w:tl2br w:val="nil"/>
              <w:tr2bl w:val="nil"/>
            </w:tcBorders>
            <w:shd w:val="clear" w:color="000000" w:fill="FFFFFF"/>
            <w:vAlign w:val="center"/>
          </w:tcPr>
          <w:p w14:paraId="7C5C7E3E">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1</w:t>
            </w:r>
            <w:r>
              <w:rPr>
                <w:rFonts w:ascii="仿宋_GB2312" w:hAnsi="宋体" w:cs="宋体"/>
                <w:kern w:val="0"/>
                <w:sz w:val="24"/>
                <w:szCs w:val="24"/>
              </w:rPr>
              <w:t>0</w:t>
            </w:r>
          </w:p>
        </w:tc>
        <w:tc>
          <w:tcPr>
            <w:tcW w:w="898" w:type="dxa"/>
            <w:tcBorders>
              <w:tl2br w:val="nil"/>
              <w:tr2bl w:val="nil"/>
            </w:tcBorders>
            <w:shd w:val="clear" w:color="000000" w:fill="FFFFFF"/>
            <w:vAlign w:val="center"/>
          </w:tcPr>
          <w:p w14:paraId="4EBEA6AD">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w:t>
            </w:r>
          </w:p>
        </w:tc>
        <w:tc>
          <w:tcPr>
            <w:tcW w:w="1039" w:type="dxa"/>
            <w:tcBorders>
              <w:tl2br w:val="nil"/>
              <w:tr2bl w:val="nil"/>
            </w:tcBorders>
            <w:shd w:val="clear" w:color="000000" w:fill="FFFFFF"/>
            <w:vAlign w:val="center"/>
          </w:tcPr>
          <w:p w14:paraId="348039E8">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100%</w:t>
            </w:r>
          </w:p>
        </w:tc>
      </w:tr>
      <w:tr w14:paraId="7604C2B5">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523" w:hRule="atLeast"/>
          <w:jc w:val="center"/>
        </w:trPr>
        <w:tc>
          <w:tcPr>
            <w:tcW w:w="1550" w:type="dxa"/>
            <w:vMerge w:val="continue"/>
            <w:tcBorders>
              <w:tl2br w:val="nil"/>
              <w:tr2bl w:val="nil"/>
            </w:tcBorders>
            <w:shd w:val="clear" w:color="auto" w:fill="FFFFFF"/>
            <w:vAlign w:val="center"/>
          </w:tcPr>
          <w:p w14:paraId="4F6F33C5">
            <w:pPr>
              <w:ind w:firstLine="0" w:firstLineChars="0"/>
              <w:jc w:val="center"/>
              <w:rPr>
                <w:rFonts w:ascii="仿宋_GB2312" w:hAnsi="宋体" w:cs="宋体"/>
                <w:kern w:val="0"/>
                <w:sz w:val="24"/>
                <w:szCs w:val="24"/>
              </w:rPr>
            </w:pPr>
          </w:p>
        </w:tc>
        <w:tc>
          <w:tcPr>
            <w:tcW w:w="1984" w:type="dxa"/>
            <w:tcBorders>
              <w:tl2br w:val="nil"/>
              <w:tr2bl w:val="nil"/>
            </w:tcBorders>
            <w:shd w:val="clear" w:color="auto" w:fill="FFFFFF"/>
            <w:vAlign w:val="center"/>
          </w:tcPr>
          <w:p w14:paraId="2CFF9ADB">
            <w:pPr>
              <w:ind w:firstLine="0" w:firstLineChars="0"/>
              <w:jc w:val="center"/>
              <w:rPr>
                <w:rFonts w:ascii="仿宋_GB2312" w:hAnsi="宋体" w:cs="宋体"/>
                <w:kern w:val="0"/>
                <w:sz w:val="24"/>
                <w:szCs w:val="24"/>
                <w:highlight w:val="none"/>
              </w:rPr>
            </w:pPr>
            <w:r>
              <w:rPr>
                <w:rFonts w:hint="eastAsia" w:ascii="仿宋_GB2312" w:hAnsi="宋体" w:cs="宋体"/>
                <w:kern w:val="0"/>
                <w:sz w:val="24"/>
                <w:szCs w:val="24"/>
                <w:highlight w:val="none"/>
              </w:rPr>
              <w:t>产出时效</w:t>
            </w:r>
          </w:p>
        </w:tc>
        <w:tc>
          <w:tcPr>
            <w:tcW w:w="2693" w:type="dxa"/>
            <w:tcBorders>
              <w:tl2br w:val="nil"/>
              <w:tr2bl w:val="nil"/>
            </w:tcBorders>
            <w:shd w:val="clear" w:color="auto" w:fill="FFFFFF"/>
            <w:vAlign w:val="center"/>
          </w:tcPr>
          <w:p w14:paraId="7DE81AFC">
            <w:pPr>
              <w:widowControl/>
              <w:ind w:firstLine="0" w:firstLineChars="0"/>
              <w:jc w:val="center"/>
              <w:rPr>
                <w:rFonts w:ascii="仿宋_GB2312" w:hAnsi="宋体" w:cs="宋体"/>
                <w:kern w:val="0"/>
                <w:sz w:val="24"/>
                <w:szCs w:val="24"/>
                <w:highlight w:val="none"/>
              </w:rPr>
            </w:pPr>
            <w:r>
              <w:rPr>
                <w:rFonts w:hint="eastAsia" w:ascii="宋体" w:hAnsi="宋体" w:eastAsia="宋体" w:cs="宋体"/>
                <w:color w:val="000000"/>
                <w:kern w:val="0"/>
                <w:sz w:val="22"/>
                <w:highlight w:val="none"/>
                <w:lang w:eastAsia="zh-CN"/>
              </w:rPr>
              <w:t>项目完成</w:t>
            </w:r>
            <w:r>
              <w:rPr>
                <w:rFonts w:hint="eastAsia" w:ascii="宋体" w:hAnsi="宋体" w:eastAsia="宋体" w:cs="宋体"/>
                <w:color w:val="000000"/>
                <w:kern w:val="0"/>
                <w:sz w:val="22"/>
                <w:highlight w:val="none"/>
              </w:rPr>
              <w:t>及时率</w:t>
            </w:r>
          </w:p>
        </w:tc>
        <w:tc>
          <w:tcPr>
            <w:tcW w:w="898" w:type="dxa"/>
            <w:tcBorders>
              <w:tl2br w:val="nil"/>
              <w:tr2bl w:val="nil"/>
            </w:tcBorders>
            <w:shd w:val="clear" w:color="000000" w:fill="FFFFFF"/>
            <w:vAlign w:val="center"/>
          </w:tcPr>
          <w:p w14:paraId="54FDCAD1">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w:t>
            </w:r>
          </w:p>
        </w:tc>
        <w:tc>
          <w:tcPr>
            <w:tcW w:w="898" w:type="dxa"/>
            <w:tcBorders>
              <w:tl2br w:val="nil"/>
              <w:tr2bl w:val="nil"/>
            </w:tcBorders>
            <w:shd w:val="clear" w:color="000000" w:fill="FFFFFF"/>
            <w:vAlign w:val="center"/>
          </w:tcPr>
          <w:p w14:paraId="0BACFE87">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w:t>
            </w:r>
          </w:p>
        </w:tc>
        <w:tc>
          <w:tcPr>
            <w:tcW w:w="1039" w:type="dxa"/>
            <w:tcBorders>
              <w:tl2br w:val="nil"/>
              <w:tr2bl w:val="nil"/>
            </w:tcBorders>
            <w:shd w:val="clear" w:color="000000" w:fill="FFFFFF"/>
            <w:vAlign w:val="center"/>
          </w:tcPr>
          <w:p w14:paraId="2F98A2EF">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100%</w:t>
            </w:r>
          </w:p>
        </w:tc>
      </w:tr>
      <w:tr w14:paraId="2701DA6A">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442" w:hRule="atLeast"/>
          <w:jc w:val="center"/>
        </w:trPr>
        <w:tc>
          <w:tcPr>
            <w:tcW w:w="1550" w:type="dxa"/>
            <w:vMerge w:val="continue"/>
            <w:tcBorders>
              <w:tl2br w:val="nil"/>
              <w:tr2bl w:val="nil"/>
            </w:tcBorders>
            <w:shd w:val="clear" w:color="auto" w:fill="FFFFFF"/>
            <w:vAlign w:val="center"/>
          </w:tcPr>
          <w:p w14:paraId="173C977B">
            <w:pPr>
              <w:widowControl/>
              <w:ind w:firstLine="0" w:firstLineChars="0"/>
              <w:jc w:val="center"/>
              <w:rPr>
                <w:rFonts w:ascii="仿宋_GB2312" w:hAnsi="宋体" w:cs="宋体"/>
                <w:kern w:val="0"/>
                <w:sz w:val="24"/>
                <w:szCs w:val="24"/>
              </w:rPr>
            </w:pPr>
          </w:p>
        </w:tc>
        <w:tc>
          <w:tcPr>
            <w:tcW w:w="1984" w:type="dxa"/>
            <w:tcBorders>
              <w:tl2br w:val="nil"/>
              <w:tr2bl w:val="nil"/>
            </w:tcBorders>
            <w:shd w:val="clear" w:color="auto" w:fill="FFFFFF"/>
            <w:vAlign w:val="center"/>
          </w:tcPr>
          <w:p w14:paraId="39D4F681">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产出成本</w:t>
            </w:r>
          </w:p>
        </w:tc>
        <w:tc>
          <w:tcPr>
            <w:tcW w:w="2693" w:type="dxa"/>
            <w:tcBorders>
              <w:tl2br w:val="nil"/>
              <w:tr2bl w:val="nil"/>
            </w:tcBorders>
            <w:shd w:val="clear" w:color="auto" w:fill="FFFFFF"/>
            <w:vAlign w:val="center"/>
          </w:tcPr>
          <w:p w14:paraId="382DEB80">
            <w:pPr>
              <w:widowControl/>
              <w:ind w:firstLine="0" w:firstLineChars="0"/>
              <w:jc w:val="center"/>
              <w:rPr>
                <w:rFonts w:ascii="仿宋_GB2312" w:hAnsi="宋体" w:cs="宋体"/>
                <w:kern w:val="0"/>
                <w:sz w:val="24"/>
                <w:szCs w:val="24"/>
              </w:rPr>
            </w:pPr>
            <w:r>
              <w:rPr>
                <w:rFonts w:hint="eastAsia" w:ascii="宋体" w:hAnsi="宋体" w:eastAsia="宋体" w:cs="宋体"/>
                <w:color w:val="000000"/>
                <w:kern w:val="0"/>
                <w:sz w:val="22"/>
              </w:rPr>
              <w:t>项目预算控制率</w:t>
            </w:r>
          </w:p>
        </w:tc>
        <w:tc>
          <w:tcPr>
            <w:tcW w:w="898" w:type="dxa"/>
            <w:tcBorders>
              <w:tl2br w:val="nil"/>
              <w:tr2bl w:val="nil"/>
            </w:tcBorders>
            <w:shd w:val="clear" w:color="000000" w:fill="FFFFFF"/>
            <w:vAlign w:val="center"/>
          </w:tcPr>
          <w:p w14:paraId="0FB30BC3">
            <w:pPr>
              <w:widowControl/>
              <w:ind w:firstLine="0" w:firstLineChars="0"/>
              <w:jc w:val="center"/>
              <w:rPr>
                <w:rFonts w:ascii="仿宋_GB2312" w:hAnsi="宋体" w:cs="宋体"/>
                <w:kern w:val="0"/>
                <w:sz w:val="24"/>
                <w:szCs w:val="24"/>
              </w:rPr>
            </w:pPr>
            <w:r>
              <w:rPr>
                <w:rFonts w:ascii="仿宋_GB2312" w:hAnsi="宋体" w:cs="宋体"/>
                <w:kern w:val="0"/>
                <w:sz w:val="24"/>
                <w:szCs w:val="24"/>
              </w:rPr>
              <w:t>10</w:t>
            </w:r>
          </w:p>
        </w:tc>
        <w:tc>
          <w:tcPr>
            <w:tcW w:w="898" w:type="dxa"/>
            <w:tcBorders>
              <w:tl2br w:val="nil"/>
              <w:tr2bl w:val="nil"/>
            </w:tcBorders>
            <w:shd w:val="clear" w:color="000000" w:fill="FFFFFF"/>
            <w:vAlign w:val="center"/>
          </w:tcPr>
          <w:p w14:paraId="44AE43CB">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w:t>
            </w:r>
          </w:p>
        </w:tc>
        <w:tc>
          <w:tcPr>
            <w:tcW w:w="1039" w:type="dxa"/>
            <w:tcBorders>
              <w:tl2br w:val="nil"/>
              <w:tr2bl w:val="nil"/>
            </w:tcBorders>
            <w:shd w:val="clear" w:color="000000" w:fill="FFFFFF"/>
            <w:vAlign w:val="center"/>
          </w:tcPr>
          <w:p w14:paraId="5D602FE0">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lang w:val="en-US" w:eastAsia="zh-CN"/>
              </w:rPr>
              <w:t>100%</w:t>
            </w:r>
          </w:p>
        </w:tc>
      </w:tr>
      <w:tr w14:paraId="041510FB">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 w:hRule="atLeast"/>
          <w:jc w:val="center"/>
        </w:trPr>
        <w:tc>
          <w:tcPr>
            <w:tcW w:w="1550" w:type="dxa"/>
            <w:vMerge w:val="restart"/>
            <w:tcBorders>
              <w:tl2br w:val="nil"/>
              <w:tr2bl w:val="nil"/>
            </w:tcBorders>
            <w:shd w:val="clear" w:color="auto" w:fill="FFFFFF"/>
            <w:vAlign w:val="center"/>
          </w:tcPr>
          <w:p w14:paraId="1156DE4D">
            <w:pPr>
              <w:widowControl/>
              <w:ind w:firstLine="0" w:firstLineChars="0"/>
              <w:jc w:val="center"/>
              <w:rPr>
                <w:rFonts w:ascii="仿宋_GB2312" w:hAnsi="宋体" w:cs="宋体"/>
                <w:kern w:val="0"/>
                <w:sz w:val="24"/>
                <w:szCs w:val="24"/>
              </w:rPr>
            </w:pPr>
            <w:r>
              <w:rPr>
                <w:rFonts w:hint="eastAsia" w:ascii="仿宋_GB2312" w:hAnsi="宋体" w:cs="宋体"/>
                <w:kern w:val="0"/>
                <w:sz w:val="24"/>
                <w:szCs w:val="24"/>
              </w:rPr>
              <w:t>效益</w:t>
            </w:r>
          </w:p>
        </w:tc>
        <w:tc>
          <w:tcPr>
            <w:tcW w:w="1984" w:type="dxa"/>
            <w:vMerge w:val="restart"/>
            <w:tcBorders>
              <w:tl2br w:val="nil"/>
              <w:tr2bl w:val="nil"/>
            </w:tcBorders>
            <w:shd w:val="clear" w:color="auto" w:fill="FFFFFF"/>
            <w:vAlign w:val="center"/>
          </w:tcPr>
          <w:p w14:paraId="461E1E27">
            <w:pPr>
              <w:widowControl/>
              <w:ind w:firstLine="0" w:firstLineChars="0"/>
              <w:jc w:val="center"/>
              <w:rPr>
                <w:rFonts w:hint="eastAsia" w:ascii="仿宋_GB2312" w:hAnsi="宋体" w:eastAsia="仿宋_GB2312" w:cs="宋体"/>
                <w:kern w:val="0"/>
                <w:sz w:val="24"/>
                <w:szCs w:val="24"/>
                <w:highlight w:val="none"/>
                <w:lang w:val="en-US" w:eastAsia="zh-CN"/>
              </w:rPr>
            </w:pPr>
            <w:r>
              <w:rPr>
                <w:rFonts w:hint="eastAsia" w:ascii="仿宋_GB2312" w:hAnsi="宋体" w:cs="宋体"/>
                <w:kern w:val="0"/>
                <w:sz w:val="24"/>
                <w:szCs w:val="24"/>
                <w:highlight w:val="none"/>
                <w:lang w:val="en-US" w:eastAsia="zh-CN"/>
              </w:rPr>
              <w:t>社会</w:t>
            </w:r>
            <w:r>
              <w:rPr>
                <w:rFonts w:hint="eastAsia" w:ascii="仿宋_GB2312" w:hAnsi="宋体" w:cs="宋体"/>
                <w:kern w:val="0"/>
                <w:sz w:val="24"/>
                <w:szCs w:val="24"/>
                <w:highlight w:val="none"/>
              </w:rPr>
              <w:t>效益</w:t>
            </w:r>
            <w:r>
              <w:rPr>
                <w:rFonts w:hint="eastAsia" w:ascii="仿宋_GB2312" w:hAnsi="宋体" w:cs="宋体"/>
                <w:kern w:val="0"/>
                <w:sz w:val="24"/>
                <w:szCs w:val="24"/>
                <w:highlight w:val="none"/>
                <w:lang w:val="en-US" w:eastAsia="zh-CN"/>
              </w:rPr>
              <w:t>指标</w:t>
            </w:r>
          </w:p>
        </w:tc>
        <w:tc>
          <w:tcPr>
            <w:tcW w:w="2693" w:type="dxa"/>
            <w:tcBorders>
              <w:tl2br w:val="nil"/>
              <w:tr2bl w:val="nil"/>
            </w:tcBorders>
            <w:shd w:val="clear" w:color="auto" w:fill="FFFFFF"/>
            <w:vAlign w:val="center"/>
          </w:tcPr>
          <w:p w14:paraId="6B5F1978">
            <w:pPr>
              <w:widowControl/>
              <w:ind w:firstLine="0" w:firstLineChars="0"/>
              <w:jc w:val="center"/>
              <w:rPr>
                <w:rFonts w:ascii="仿宋_GB2312" w:hAnsi="宋体" w:cs="宋体"/>
                <w:kern w:val="0"/>
                <w:sz w:val="24"/>
                <w:szCs w:val="24"/>
                <w:highlight w:val="none"/>
              </w:rPr>
            </w:pPr>
            <w:r>
              <w:rPr>
                <w:rFonts w:hint="eastAsia" w:ascii="宋体" w:hAnsi="宋体" w:eastAsia="宋体" w:cs="宋体"/>
                <w:color w:val="000000"/>
                <w:kern w:val="0"/>
                <w:sz w:val="22"/>
                <w:highlight w:val="none"/>
              </w:rPr>
              <w:t>保障场馆正常运转</w:t>
            </w:r>
          </w:p>
        </w:tc>
        <w:tc>
          <w:tcPr>
            <w:tcW w:w="898" w:type="dxa"/>
            <w:tcBorders>
              <w:tl2br w:val="nil"/>
              <w:tr2bl w:val="nil"/>
            </w:tcBorders>
            <w:shd w:val="clear" w:color="auto" w:fill="FFFFFF"/>
            <w:vAlign w:val="center"/>
          </w:tcPr>
          <w:p w14:paraId="279E12E4">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5</w:t>
            </w:r>
          </w:p>
        </w:tc>
        <w:tc>
          <w:tcPr>
            <w:tcW w:w="898" w:type="dxa"/>
            <w:tcBorders>
              <w:tl2br w:val="nil"/>
              <w:tr2bl w:val="nil"/>
            </w:tcBorders>
            <w:shd w:val="clear" w:color="auto" w:fill="FFFFFF"/>
            <w:vAlign w:val="center"/>
          </w:tcPr>
          <w:p w14:paraId="6352910A">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5</w:t>
            </w:r>
          </w:p>
        </w:tc>
        <w:tc>
          <w:tcPr>
            <w:tcW w:w="1039" w:type="dxa"/>
            <w:vMerge w:val="restart"/>
            <w:tcBorders>
              <w:tl2br w:val="nil"/>
              <w:tr2bl w:val="nil"/>
            </w:tcBorders>
            <w:shd w:val="clear" w:color="auto" w:fill="FFFFFF"/>
            <w:vAlign w:val="center"/>
          </w:tcPr>
          <w:p w14:paraId="17EB21DB">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100%</w:t>
            </w:r>
          </w:p>
        </w:tc>
      </w:tr>
      <w:tr w14:paraId="51E1BB68">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 w:hRule="atLeast"/>
          <w:jc w:val="center"/>
        </w:trPr>
        <w:tc>
          <w:tcPr>
            <w:tcW w:w="1550" w:type="dxa"/>
            <w:vMerge w:val="continue"/>
            <w:tcBorders>
              <w:tl2br w:val="nil"/>
              <w:tr2bl w:val="nil"/>
            </w:tcBorders>
            <w:shd w:val="clear" w:color="auto" w:fill="FFFFFF"/>
            <w:vAlign w:val="center"/>
          </w:tcPr>
          <w:p w14:paraId="16CA0936">
            <w:pPr>
              <w:widowControl/>
              <w:ind w:firstLine="0" w:firstLineChars="0"/>
              <w:jc w:val="center"/>
              <w:rPr>
                <w:rFonts w:hint="eastAsia" w:ascii="仿宋_GB2312" w:hAnsi="宋体" w:cs="宋体"/>
                <w:kern w:val="0"/>
                <w:sz w:val="24"/>
                <w:szCs w:val="24"/>
              </w:rPr>
            </w:pPr>
            <w:bookmarkStart w:id="29" w:name="_Toc67911610"/>
            <w:bookmarkStart w:id="30" w:name="_Toc165277239"/>
          </w:p>
        </w:tc>
        <w:tc>
          <w:tcPr>
            <w:tcW w:w="1984" w:type="dxa"/>
            <w:vMerge w:val="continue"/>
            <w:tcBorders>
              <w:tl2br w:val="nil"/>
              <w:tr2bl w:val="nil"/>
            </w:tcBorders>
            <w:shd w:val="clear" w:color="auto" w:fill="FFFFFF"/>
            <w:vAlign w:val="center"/>
          </w:tcPr>
          <w:p w14:paraId="0A3A646E">
            <w:pPr>
              <w:widowControl/>
              <w:ind w:firstLine="0" w:firstLineChars="0"/>
              <w:jc w:val="center"/>
              <w:rPr>
                <w:rFonts w:hint="eastAsia" w:ascii="仿宋_GB2312" w:hAnsi="宋体" w:cs="宋体"/>
                <w:kern w:val="0"/>
                <w:sz w:val="24"/>
                <w:szCs w:val="24"/>
                <w:highlight w:val="yellow"/>
              </w:rPr>
            </w:pPr>
          </w:p>
        </w:tc>
        <w:tc>
          <w:tcPr>
            <w:tcW w:w="2693" w:type="dxa"/>
            <w:tcBorders>
              <w:tl2br w:val="nil"/>
              <w:tr2bl w:val="nil"/>
            </w:tcBorders>
            <w:shd w:val="clear" w:color="auto" w:fill="FFFFFF"/>
            <w:vAlign w:val="center"/>
          </w:tcPr>
          <w:p w14:paraId="582557B2">
            <w:pPr>
              <w:widowControl/>
              <w:ind w:firstLine="0" w:firstLineChars="0"/>
              <w:jc w:val="center"/>
              <w:rPr>
                <w:rFonts w:hint="default" w:ascii="宋体" w:hAnsi="宋体" w:eastAsia="宋体" w:cs="宋体"/>
                <w:color w:val="000000"/>
                <w:kern w:val="0"/>
                <w:sz w:val="22"/>
                <w:lang w:val="en-US" w:eastAsia="zh-CN"/>
              </w:rPr>
            </w:pPr>
            <w:r>
              <w:rPr>
                <w:rFonts w:hint="eastAsia" w:ascii="宋体" w:hAnsi="宋体" w:eastAsia="宋体" w:cs="宋体"/>
                <w:color w:val="000000"/>
                <w:kern w:val="0"/>
                <w:sz w:val="22"/>
                <w:lang w:val="en-US" w:eastAsia="zh-CN"/>
              </w:rPr>
              <w:t>加强社会稳定</w:t>
            </w:r>
          </w:p>
        </w:tc>
        <w:tc>
          <w:tcPr>
            <w:tcW w:w="898" w:type="dxa"/>
            <w:tcBorders>
              <w:tl2br w:val="nil"/>
              <w:tr2bl w:val="nil"/>
            </w:tcBorders>
            <w:shd w:val="clear" w:color="auto" w:fill="FFFFFF"/>
            <w:vAlign w:val="center"/>
          </w:tcPr>
          <w:p w14:paraId="72C65C28">
            <w:pPr>
              <w:widowControl/>
              <w:ind w:firstLine="0" w:firstLineChars="0"/>
              <w:jc w:val="center"/>
              <w:rPr>
                <w:rFonts w:hint="default" w:ascii="仿宋_GB2312" w:hAnsi="宋体" w:cs="宋体"/>
                <w:kern w:val="0"/>
                <w:sz w:val="24"/>
                <w:szCs w:val="24"/>
                <w:lang w:val="en-US" w:eastAsia="zh-CN"/>
              </w:rPr>
            </w:pPr>
            <w:r>
              <w:rPr>
                <w:rFonts w:hint="eastAsia" w:ascii="仿宋_GB2312" w:hAnsi="宋体" w:cs="宋体"/>
                <w:kern w:val="0"/>
                <w:sz w:val="24"/>
                <w:szCs w:val="24"/>
                <w:lang w:val="en-US" w:eastAsia="zh-CN"/>
              </w:rPr>
              <w:t>5</w:t>
            </w:r>
          </w:p>
        </w:tc>
        <w:tc>
          <w:tcPr>
            <w:tcW w:w="898" w:type="dxa"/>
            <w:tcBorders>
              <w:tl2br w:val="nil"/>
              <w:tr2bl w:val="nil"/>
            </w:tcBorders>
            <w:shd w:val="clear" w:color="auto" w:fill="FFFFFF"/>
            <w:vAlign w:val="center"/>
          </w:tcPr>
          <w:p w14:paraId="10492387">
            <w:pPr>
              <w:widowControl/>
              <w:ind w:firstLine="0" w:firstLineChars="0"/>
              <w:jc w:val="center"/>
              <w:rPr>
                <w:rFonts w:hint="default" w:ascii="仿宋_GB2312" w:hAnsi="宋体" w:cs="宋体"/>
                <w:kern w:val="0"/>
                <w:sz w:val="24"/>
                <w:szCs w:val="24"/>
                <w:lang w:val="en-US" w:eastAsia="zh-CN"/>
              </w:rPr>
            </w:pPr>
            <w:r>
              <w:rPr>
                <w:rFonts w:hint="eastAsia" w:ascii="仿宋_GB2312" w:hAnsi="宋体" w:cs="宋体"/>
                <w:kern w:val="0"/>
                <w:sz w:val="24"/>
                <w:szCs w:val="24"/>
                <w:lang w:val="en-US" w:eastAsia="zh-CN"/>
              </w:rPr>
              <w:t>5</w:t>
            </w:r>
          </w:p>
        </w:tc>
        <w:tc>
          <w:tcPr>
            <w:tcW w:w="1039" w:type="dxa"/>
            <w:vMerge w:val="continue"/>
            <w:tcBorders>
              <w:tl2br w:val="nil"/>
              <w:tr2bl w:val="nil"/>
            </w:tcBorders>
            <w:shd w:val="clear" w:color="auto" w:fill="FFFFFF"/>
            <w:vAlign w:val="center"/>
          </w:tcPr>
          <w:p w14:paraId="63966101">
            <w:pPr>
              <w:widowControl/>
              <w:ind w:firstLine="0" w:firstLineChars="0"/>
              <w:jc w:val="center"/>
              <w:rPr>
                <w:rFonts w:hint="eastAsia" w:ascii="仿宋_GB2312" w:hAnsi="宋体" w:cs="宋体"/>
                <w:kern w:val="0"/>
                <w:sz w:val="24"/>
                <w:szCs w:val="24"/>
                <w:lang w:val="en-US" w:eastAsia="zh-CN"/>
              </w:rPr>
            </w:pPr>
          </w:p>
        </w:tc>
      </w:tr>
      <w:tr w14:paraId="2322BA57">
        <w:tblPrEx>
          <w:tblBorders>
            <w:top w:val="single" w:color="000000" w:sz="8" w:space="0"/>
            <w:left w:val="single" w:color="000000" w:sz="8" w:space="0"/>
            <w:bottom w:val="single" w:color="000000" w:sz="8" w:space="0"/>
            <w:right w:val="single" w:color="000000" w:sz="8" w:space="0"/>
            <w:insideH w:val="single" w:color="000000" w:sz="8" w:space="0"/>
            <w:insideV w:val="single" w:color="000000" w:sz="8" w:space="0"/>
          </w:tblBorders>
          <w:tblCellMar>
            <w:top w:w="0" w:type="dxa"/>
            <w:left w:w="108" w:type="dxa"/>
            <w:bottom w:w="0" w:type="dxa"/>
            <w:right w:w="108" w:type="dxa"/>
          </w:tblCellMar>
        </w:tblPrEx>
        <w:trPr>
          <w:trHeight w:val="352" w:hRule="atLeast"/>
          <w:jc w:val="center"/>
        </w:trPr>
        <w:tc>
          <w:tcPr>
            <w:tcW w:w="1550" w:type="dxa"/>
            <w:tcBorders>
              <w:tl2br w:val="nil"/>
              <w:tr2bl w:val="nil"/>
            </w:tcBorders>
            <w:shd w:val="clear" w:color="auto" w:fill="FFFFFF"/>
            <w:vAlign w:val="center"/>
          </w:tcPr>
          <w:p w14:paraId="22EB83CD">
            <w:pPr>
              <w:widowControl/>
              <w:ind w:firstLine="0" w:firstLineChars="0"/>
              <w:jc w:val="center"/>
              <w:rPr>
                <w:rFonts w:hint="eastAsia" w:ascii="仿宋_GB2312" w:hAnsi="宋体" w:cs="宋体"/>
                <w:kern w:val="0"/>
                <w:sz w:val="24"/>
                <w:szCs w:val="24"/>
              </w:rPr>
            </w:pPr>
            <w:r>
              <w:rPr>
                <w:rFonts w:ascii="宋体" w:hAnsi="宋体" w:eastAsia="宋体" w:cs="宋体"/>
                <w:color w:val="000000"/>
                <w:kern w:val="0"/>
                <w:sz w:val="22"/>
              </w:rPr>
              <w:t>满意度指标完成情况分析</w:t>
            </w:r>
          </w:p>
        </w:tc>
        <w:tc>
          <w:tcPr>
            <w:tcW w:w="1984" w:type="dxa"/>
            <w:tcBorders>
              <w:tl2br w:val="nil"/>
              <w:tr2bl w:val="nil"/>
            </w:tcBorders>
            <w:shd w:val="clear" w:color="auto" w:fill="FFFFFF"/>
            <w:vAlign w:val="center"/>
          </w:tcPr>
          <w:p w14:paraId="48C38CEE">
            <w:pPr>
              <w:widowControl/>
              <w:ind w:firstLine="0" w:firstLineChars="0"/>
              <w:jc w:val="center"/>
              <w:rPr>
                <w:rFonts w:hint="eastAsia" w:ascii="仿宋_GB2312" w:hAnsi="宋体" w:cs="宋体"/>
                <w:kern w:val="0"/>
                <w:sz w:val="24"/>
                <w:szCs w:val="24"/>
                <w:highlight w:val="yellow"/>
              </w:rPr>
            </w:pPr>
            <w:r>
              <w:rPr>
                <w:rFonts w:hint="eastAsia" w:ascii="宋体" w:hAnsi="宋体" w:eastAsia="宋体" w:cs="宋体"/>
                <w:color w:val="000000"/>
                <w:kern w:val="0"/>
                <w:sz w:val="22"/>
              </w:rPr>
              <w:t>满意度指标</w:t>
            </w:r>
          </w:p>
        </w:tc>
        <w:tc>
          <w:tcPr>
            <w:tcW w:w="2693" w:type="dxa"/>
            <w:tcBorders>
              <w:tl2br w:val="nil"/>
              <w:tr2bl w:val="nil"/>
            </w:tcBorders>
            <w:shd w:val="clear" w:color="auto" w:fill="FFFFFF"/>
            <w:vAlign w:val="center"/>
          </w:tcPr>
          <w:p w14:paraId="5E53E31F">
            <w:pPr>
              <w:widowControl/>
              <w:ind w:firstLine="0" w:firstLineChars="0"/>
              <w:jc w:val="center"/>
              <w:rPr>
                <w:rFonts w:hint="eastAsia" w:ascii="宋体" w:hAnsi="宋体" w:eastAsia="宋体" w:cs="宋体"/>
                <w:color w:val="000000"/>
                <w:kern w:val="0"/>
                <w:sz w:val="22"/>
              </w:rPr>
            </w:pPr>
            <w:r>
              <w:rPr>
                <w:rFonts w:hint="eastAsia" w:ascii="宋体" w:hAnsi="宋体" w:eastAsia="宋体" w:cs="宋体"/>
                <w:color w:val="000000"/>
                <w:kern w:val="0"/>
                <w:sz w:val="22"/>
              </w:rPr>
              <w:t>群众满意度</w:t>
            </w:r>
          </w:p>
        </w:tc>
        <w:tc>
          <w:tcPr>
            <w:tcW w:w="898" w:type="dxa"/>
            <w:tcBorders>
              <w:tl2br w:val="nil"/>
              <w:tr2bl w:val="nil"/>
            </w:tcBorders>
            <w:shd w:val="clear" w:color="auto" w:fill="FFFFFF"/>
            <w:vAlign w:val="center"/>
          </w:tcPr>
          <w:p w14:paraId="36C465FA">
            <w:pPr>
              <w:widowControl/>
              <w:ind w:firstLine="0" w:firstLineChars="0"/>
              <w:jc w:val="center"/>
              <w:rPr>
                <w:rFonts w:hint="default" w:ascii="仿宋_GB2312" w:hAnsi="宋体" w:eastAsia="仿宋_GB2312" w:cs="宋体"/>
                <w:kern w:val="0"/>
                <w:sz w:val="24"/>
                <w:szCs w:val="24"/>
                <w:lang w:val="en-US" w:eastAsia="zh-CN"/>
              </w:rPr>
            </w:pPr>
            <w:r>
              <w:rPr>
                <w:rFonts w:hint="eastAsia" w:ascii="仿宋_GB2312" w:hAnsi="宋体" w:cs="宋体"/>
                <w:kern w:val="0"/>
                <w:sz w:val="24"/>
                <w:szCs w:val="24"/>
                <w:lang w:val="en-US" w:eastAsia="zh-CN"/>
              </w:rPr>
              <w:t>10</w:t>
            </w:r>
          </w:p>
        </w:tc>
        <w:tc>
          <w:tcPr>
            <w:tcW w:w="898" w:type="dxa"/>
            <w:tcBorders>
              <w:tl2br w:val="nil"/>
              <w:tr2bl w:val="nil"/>
            </w:tcBorders>
            <w:shd w:val="clear" w:color="auto" w:fill="FFFFFF"/>
            <w:vAlign w:val="center"/>
          </w:tcPr>
          <w:p w14:paraId="4D5E7242">
            <w:pPr>
              <w:widowControl/>
              <w:ind w:firstLine="0" w:firstLineChars="0"/>
              <w:jc w:val="center"/>
              <w:rPr>
                <w:rFonts w:hint="default" w:ascii="仿宋_GB2312" w:hAnsi="宋体" w:cs="宋体"/>
                <w:kern w:val="0"/>
                <w:sz w:val="24"/>
                <w:szCs w:val="24"/>
                <w:lang w:val="en-US" w:eastAsia="zh-CN"/>
              </w:rPr>
            </w:pPr>
            <w:r>
              <w:rPr>
                <w:rFonts w:hint="eastAsia" w:ascii="仿宋_GB2312" w:hAnsi="宋体" w:cs="宋体"/>
                <w:kern w:val="0"/>
                <w:sz w:val="24"/>
                <w:szCs w:val="24"/>
                <w:lang w:val="en-US" w:eastAsia="zh-CN"/>
              </w:rPr>
              <w:t>10</w:t>
            </w:r>
          </w:p>
        </w:tc>
        <w:tc>
          <w:tcPr>
            <w:tcW w:w="1039" w:type="dxa"/>
            <w:tcBorders>
              <w:tl2br w:val="nil"/>
              <w:tr2bl w:val="nil"/>
            </w:tcBorders>
            <w:shd w:val="clear" w:color="auto" w:fill="FFFFFF"/>
            <w:vAlign w:val="center"/>
          </w:tcPr>
          <w:p w14:paraId="570539E6">
            <w:pPr>
              <w:widowControl/>
              <w:ind w:firstLine="0" w:firstLineChars="0"/>
              <w:jc w:val="center"/>
              <w:rPr>
                <w:rFonts w:hint="default" w:ascii="仿宋_GB2312" w:hAnsi="宋体" w:cs="宋体"/>
                <w:kern w:val="0"/>
                <w:sz w:val="24"/>
                <w:szCs w:val="24"/>
                <w:lang w:val="en-US" w:eastAsia="zh-CN"/>
              </w:rPr>
            </w:pPr>
            <w:r>
              <w:rPr>
                <w:rFonts w:hint="eastAsia" w:ascii="仿宋_GB2312" w:hAnsi="宋体" w:cs="宋体"/>
                <w:kern w:val="0"/>
                <w:sz w:val="24"/>
                <w:szCs w:val="24"/>
                <w:lang w:val="en-US" w:eastAsia="zh-CN"/>
              </w:rPr>
              <w:t>100%</w:t>
            </w:r>
          </w:p>
        </w:tc>
      </w:tr>
    </w:tbl>
    <w:p w14:paraId="14138278">
      <w:pPr>
        <w:pStyle w:val="3"/>
        <w:ind w:firstLine="643"/>
        <w:rPr>
          <w:rFonts w:ascii="仿宋" w:hAnsi="仿宋" w:eastAsia="仿宋"/>
          <w:lang w:bidi="en-US"/>
        </w:rPr>
      </w:pPr>
      <w:r>
        <w:rPr>
          <w:rFonts w:hint="eastAsia" w:ascii="仿宋" w:hAnsi="仿宋" w:eastAsia="仿宋"/>
          <w:lang w:bidi="en-US"/>
        </w:rPr>
        <w:t>（二）主要绩效</w:t>
      </w:r>
      <w:bookmarkEnd w:id="29"/>
      <w:bookmarkEnd w:id="30"/>
    </w:p>
    <w:p w14:paraId="491376CC">
      <w:pPr>
        <w:spacing w:line="360" w:lineRule="auto"/>
        <w:ind w:firstLine="548" w:firstLineChars="196"/>
        <w:rPr>
          <w:rFonts w:ascii="仿宋_GB2312"/>
          <w:bCs/>
          <w:szCs w:val="28"/>
          <w:highlight w:val="yellow"/>
        </w:rPr>
      </w:pPr>
      <w:r>
        <w:rPr>
          <w:rFonts w:hint="eastAsia" w:ascii="仿宋_GB2312"/>
          <w:bCs/>
          <w:szCs w:val="28"/>
        </w:rPr>
        <w:t>该项目资金</w:t>
      </w:r>
      <w:r>
        <w:rPr>
          <w:rFonts w:hint="eastAsia" w:ascii="仿宋_GB2312"/>
          <w:bCs/>
          <w:szCs w:val="28"/>
          <w:highlight w:val="none"/>
        </w:rPr>
        <w:t>区财政及时拨付，单位在此次评价期间内，有序完成设定目标的部分工作任务，</w:t>
      </w:r>
      <w:r>
        <w:rPr>
          <w:rFonts w:hint="eastAsia" w:ascii="仿宋_GB2312"/>
          <w:bCs/>
          <w:szCs w:val="28"/>
          <w:highlight w:val="none"/>
          <w:lang w:eastAsia="zh-CN"/>
        </w:rPr>
        <w:t>聘用保安岗</w:t>
      </w:r>
      <w:r>
        <w:rPr>
          <w:rFonts w:hint="eastAsia" w:ascii="仿宋_GB2312"/>
          <w:bCs/>
          <w:szCs w:val="28"/>
          <w:highlight w:val="none"/>
          <w:lang w:val="en-US" w:eastAsia="zh-CN"/>
        </w:rPr>
        <w:t>34岗，2023年全年安保培训、演练10次、全年所有安保人员持证上岗率100%、全年完成工作时间365天，有力保障了</w:t>
      </w:r>
      <w:r>
        <w:rPr>
          <w:rFonts w:hint="eastAsia" w:ascii="仿宋_GB2312"/>
          <w:highlight w:val="none"/>
        </w:rPr>
        <w:t>革命遗址和文博场馆</w:t>
      </w:r>
      <w:r>
        <w:rPr>
          <w:rFonts w:hint="eastAsia" w:ascii="仿宋_GB2312"/>
          <w:bCs/>
          <w:szCs w:val="28"/>
          <w:highlight w:val="none"/>
          <w:lang w:val="en-US" w:eastAsia="zh-CN"/>
        </w:rPr>
        <w:t>的正常运转，</w:t>
      </w:r>
      <w:r>
        <w:rPr>
          <w:rFonts w:hint="eastAsia" w:ascii="仿宋_GB2312"/>
          <w:highlight w:val="none"/>
        </w:rPr>
        <w:t>确保文物自身安全</w:t>
      </w:r>
      <w:r>
        <w:rPr>
          <w:rFonts w:hint="eastAsia" w:ascii="仿宋_GB2312"/>
          <w:bCs/>
          <w:szCs w:val="28"/>
          <w:highlight w:val="none"/>
          <w:lang w:val="en-US" w:eastAsia="zh-CN"/>
        </w:rPr>
        <w:t>。</w:t>
      </w:r>
    </w:p>
    <w:p w14:paraId="13C65C60">
      <w:pPr>
        <w:pStyle w:val="2"/>
        <w:ind w:firstLine="0" w:firstLineChars="0"/>
        <w:jc w:val="left"/>
        <w:rPr>
          <w:rFonts w:ascii="仿宋" w:hAnsi="仿宋" w:eastAsia="仿宋"/>
          <w:sz w:val="36"/>
          <w:szCs w:val="36"/>
          <w:lang w:bidi="en-US"/>
        </w:rPr>
      </w:pPr>
      <w:bookmarkStart w:id="31" w:name="_Toc67911611"/>
      <w:bookmarkStart w:id="32" w:name="_Toc165277240"/>
      <w:r>
        <w:rPr>
          <w:rFonts w:hint="eastAsia" w:ascii="仿宋" w:hAnsi="仿宋" w:eastAsia="仿宋"/>
          <w:sz w:val="36"/>
          <w:szCs w:val="36"/>
          <w:lang w:bidi="en-US"/>
        </w:rPr>
        <w:t>四、绩效评价指标分析</w:t>
      </w:r>
      <w:bookmarkEnd w:id="31"/>
      <w:bookmarkEnd w:id="32"/>
    </w:p>
    <w:p w14:paraId="3ACFF8B3">
      <w:pPr>
        <w:pStyle w:val="3"/>
        <w:ind w:firstLine="643"/>
        <w:rPr>
          <w:rFonts w:ascii="仿宋" w:hAnsi="仿宋" w:eastAsia="仿宋"/>
          <w:lang w:bidi="en-US"/>
        </w:rPr>
      </w:pPr>
      <w:bookmarkStart w:id="33" w:name="_Toc67911612"/>
      <w:bookmarkStart w:id="34" w:name="_Toc165277241"/>
      <w:r>
        <w:rPr>
          <w:rFonts w:hint="eastAsia" w:ascii="仿宋" w:hAnsi="仿宋" w:eastAsia="仿宋"/>
          <w:lang w:bidi="en-US"/>
        </w:rPr>
        <w:t>（一）项目决策情况</w:t>
      </w:r>
      <w:bookmarkEnd w:id="33"/>
      <w:bookmarkEnd w:id="34"/>
    </w:p>
    <w:p w14:paraId="53ECD3D8">
      <w:pPr>
        <w:spacing w:line="360" w:lineRule="auto"/>
        <w:ind w:firstLine="560"/>
        <w:rPr>
          <w:rFonts w:ascii="仿宋_GB2312"/>
          <w:szCs w:val="28"/>
        </w:rPr>
      </w:pPr>
      <w:r>
        <w:rPr>
          <w:rFonts w:hint="eastAsia" w:ascii="仿宋_GB2312"/>
          <w:szCs w:val="28"/>
        </w:rPr>
        <w:t>项目决</w:t>
      </w:r>
      <w:r>
        <w:rPr>
          <w:rFonts w:hint="eastAsia" w:ascii="仿宋_GB2312"/>
          <w:szCs w:val="28"/>
          <w:lang w:eastAsia="zh-CN"/>
        </w:rPr>
        <w:t>策</w:t>
      </w:r>
      <w:r>
        <w:rPr>
          <w:rFonts w:hint="eastAsia" w:ascii="仿宋_GB2312"/>
          <w:szCs w:val="28"/>
        </w:rPr>
        <w:t>指标由3个二级指标和6个三级指标构成，权重为</w:t>
      </w:r>
      <w:r>
        <w:rPr>
          <w:rFonts w:ascii="仿宋_GB2312"/>
          <w:szCs w:val="28"/>
        </w:rPr>
        <w:t>20</w:t>
      </w:r>
      <w:r>
        <w:rPr>
          <w:rFonts w:hint="eastAsia" w:ascii="仿宋_GB2312"/>
          <w:szCs w:val="28"/>
        </w:rPr>
        <w:t>分，实际得分</w:t>
      </w:r>
      <w:r>
        <w:rPr>
          <w:rFonts w:hint="eastAsia" w:ascii="仿宋_GB2312"/>
          <w:szCs w:val="28"/>
          <w:lang w:val="en-US" w:eastAsia="zh-CN"/>
        </w:rPr>
        <w:t>20</w:t>
      </w:r>
      <w:r>
        <w:rPr>
          <w:rFonts w:hint="eastAsia" w:ascii="仿宋_GB2312"/>
          <w:szCs w:val="28"/>
        </w:rPr>
        <w:t>分。</w:t>
      </w:r>
    </w:p>
    <w:p w14:paraId="1A365229">
      <w:pPr>
        <w:pStyle w:val="4"/>
        <w:ind w:firstLine="643"/>
      </w:pPr>
      <w:bookmarkStart w:id="35" w:name="_Toc165277242"/>
      <w:r>
        <w:t>1.</w:t>
      </w:r>
      <w:r>
        <w:rPr>
          <w:rFonts w:hint="eastAsia"/>
        </w:rPr>
        <w:t>项目立项</w:t>
      </w:r>
      <w:bookmarkEnd w:id="35"/>
    </w:p>
    <w:p w14:paraId="57C75BB6">
      <w:pPr>
        <w:spacing w:line="360" w:lineRule="auto"/>
        <w:ind w:firstLine="562"/>
        <w:rPr>
          <w:rFonts w:ascii="仿宋_GB2312"/>
          <w:szCs w:val="28"/>
        </w:rPr>
      </w:pPr>
      <w:r>
        <w:rPr>
          <w:rFonts w:hint="eastAsia" w:ascii="仿宋_GB2312"/>
          <w:b/>
          <w:bCs/>
          <w:szCs w:val="28"/>
        </w:rPr>
        <w:t>立项依据充分性：</w:t>
      </w:r>
      <w:r>
        <w:rPr>
          <w:rFonts w:hint="eastAsia" w:ascii="仿宋_GB2312"/>
          <w:szCs w:val="28"/>
        </w:rPr>
        <w:t>项目立项符合乌鲁木齐市《文化行业人员密集场所安全防范规范手册》中《博物馆安全防范标准》。同时，项目与部门职责范围相符，属于部门履职所需。此外，本项目属于公共财政支持范围，符合中央、地方事权支出责任划分原则。因此，立项依据充分，得4分。</w:t>
      </w:r>
    </w:p>
    <w:p w14:paraId="5616541A">
      <w:pPr>
        <w:spacing w:line="360" w:lineRule="auto"/>
        <w:ind w:firstLine="562"/>
        <w:rPr>
          <w:rFonts w:ascii="仿宋_GB2312"/>
          <w:szCs w:val="28"/>
        </w:rPr>
      </w:pPr>
      <w:r>
        <w:rPr>
          <w:rFonts w:hint="eastAsia" w:ascii="仿宋_GB2312"/>
          <w:b/>
          <w:bCs/>
          <w:szCs w:val="28"/>
        </w:rPr>
        <w:t>立项程序规范性</w:t>
      </w:r>
      <w:r>
        <w:rPr>
          <w:rFonts w:ascii="仿宋_GB2312"/>
          <w:b/>
          <w:bCs/>
          <w:szCs w:val="28"/>
        </w:rPr>
        <w:t>:</w:t>
      </w:r>
      <w:r>
        <w:rPr>
          <w:rFonts w:hint="eastAsia"/>
        </w:rPr>
        <w:t xml:space="preserve"> </w:t>
      </w:r>
      <w:r>
        <w:rPr>
          <w:rFonts w:hint="eastAsia" w:ascii="仿宋_GB2312"/>
          <w:szCs w:val="28"/>
        </w:rPr>
        <w:t>项目按照</w:t>
      </w:r>
      <w:r>
        <w:rPr>
          <w:rFonts w:hint="eastAsia" w:ascii="仿宋_GB2312"/>
          <w:szCs w:val="28"/>
          <w:lang w:val="en-US" w:eastAsia="zh-CN"/>
        </w:rPr>
        <w:t>年初预算申请上报，财政局2023年下达</w:t>
      </w:r>
      <w:r>
        <w:rPr>
          <w:rFonts w:hint="eastAsia" w:ascii="仿宋_GB2312"/>
          <w:highlight w:val="none"/>
        </w:rPr>
        <w:t>《</w:t>
      </w:r>
      <w:r>
        <w:rPr>
          <w:rFonts w:hint="eastAsia" w:ascii="仿宋_GB2312"/>
          <w:highlight w:val="none"/>
          <w:lang w:eastAsia="zh-CN"/>
        </w:rPr>
        <w:t>关于2023年市本级部门预算的批复</w:t>
      </w:r>
      <w:r>
        <w:rPr>
          <w:rFonts w:hint="eastAsia" w:ascii="仿宋_GB2312"/>
          <w:highlight w:val="none"/>
        </w:rPr>
        <w:t>》（乌财科教【2023】2号）</w:t>
      </w:r>
      <w:r>
        <w:rPr>
          <w:rFonts w:hint="eastAsia" w:ascii="仿宋_GB2312"/>
          <w:highlight w:val="none"/>
          <w:lang w:eastAsia="zh-CN"/>
        </w:rPr>
        <w:t>，</w:t>
      </w:r>
      <w:r>
        <w:rPr>
          <w:rFonts w:hint="eastAsia" w:ascii="仿宋_GB2312"/>
          <w:szCs w:val="28"/>
        </w:rPr>
        <w:t>故立项程序规范，得4分。</w:t>
      </w:r>
    </w:p>
    <w:p w14:paraId="61DBAB09">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8</w:t>
      </w:r>
      <w:r>
        <w:rPr>
          <w:rFonts w:hint="eastAsia" w:ascii="仿宋_GB2312" w:hAnsi="仿宋" w:cs="宋体"/>
          <w:b/>
          <w:kern w:val="0"/>
          <w:szCs w:val="28"/>
        </w:rPr>
        <w:t>分，得分</w:t>
      </w:r>
      <w:r>
        <w:rPr>
          <w:rFonts w:hint="eastAsia" w:ascii="仿宋_GB2312" w:hAnsi="仿宋" w:cs="宋体"/>
          <w:b/>
          <w:kern w:val="0"/>
          <w:szCs w:val="28"/>
          <w:lang w:val="en-US" w:eastAsia="zh-CN"/>
        </w:rPr>
        <w:t>8</w:t>
      </w:r>
      <w:r>
        <w:rPr>
          <w:rFonts w:hint="eastAsia" w:ascii="仿宋_GB2312" w:hAnsi="仿宋" w:cs="宋体"/>
          <w:b/>
          <w:kern w:val="0"/>
          <w:szCs w:val="28"/>
        </w:rPr>
        <w:t>分。</w:t>
      </w:r>
    </w:p>
    <w:p w14:paraId="0AE5563C">
      <w:pPr>
        <w:pStyle w:val="4"/>
        <w:ind w:firstLine="643"/>
      </w:pPr>
      <w:bookmarkStart w:id="36" w:name="_Toc165277243"/>
      <w:r>
        <w:rPr>
          <w:rFonts w:hint="eastAsia"/>
        </w:rPr>
        <w:t>2</w:t>
      </w:r>
      <w:r>
        <w:t>.</w:t>
      </w:r>
      <w:r>
        <w:rPr>
          <w:rFonts w:hint="eastAsia"/>
        </w:rPr>
        <w:t>绩效目标</w:t>
      </w:r>
      <w:bookmarkEnd w:id="36"/>
    </w:p>
    <w:p w14:paraId="756568CE">
      <w:pPr>
        <w:spacing w:line="360" w:lineRule="auto"/>
        <w:ind w:firstLine="562"/>
        <w:rPr>
          <w:rFonts w:ascii="仿宋_GB2312"/>
          <w:szCs w:val="28"/>
        </w:rPr>
      </w:pPr>
      <w:r>
        <w:rPr>
          <w:rFonts w:hint="eastAsia" w:ascii="仿宋_GB2312"/>
          <w:b/>
          <w:bCs/>
          <w:szCs w:val="28"/>
        </w:rPr>
        <w:t>绩效目标合理性：</w:t>
      </w:r>
      <w:r>
        <w:rPr>
          <w:rFonts w:hint="eastAsia" w:ascii="仿宋_GB2312"/>
          <w:szCs w:val="28"/>
        </w:rPr>
        <w:t>本项目的绩效目标按照产出、效益和满意度构建绩效评价指标，且具有明确性、可衡量性、可实现性、相关性和时限性等特点，能较为全面地反映本项目的产出和效益，故绩效目标合理性指标得分</w:t>
      </w:r>
      <w:r>
        <w:rPr>
          <w:rFonts w:ascii="仿宋_GB2312"/>
          <w:szCs w:val="28"/>
        </w:rPr>
        <w:t>3</w:t>
      </w:r>
      <w:r>
        <w:rPr>
          <w:rFonts w:hint="eastAsia" w:ascii="仿宋_GB2312"/>
          <w:szCs w:val="28"/>
        </w:rPr>
        <w:t>分。</w:t>
      </w:r>
    </w:p>
    <w:p w14:paraId="071C8533">
      <w:pPr>
        <w:autoSpaceDE w:val="0"/>
        <w:spacing w:line="600" w:lineRule="exact"/>
        <w:ind w:firstLine="562"/>
        <w:rPr>
          <w:rFonts w:ascii="仿宋_GB2312" w:hAnsi="仿宋" w:cs="宋体"/>
          <w:kern w:val="0"/>
          <w:szCs w:val="28"/>
        </w:rPr>
      </w:pPr>
      <w:r>
        <w:rPr>
          <w:rFonts w:hint="eastAsia" w:ascii="仿宋_GB2312" w:hAnsi="仿宋" w:cs="宋体"/>
          <w:b/>
          <w:kern w:val="0"/>
          <w:szCs w:val="28"/>
        </w:rPr>
        <w:t>绩效目标明确性：</w:t>
      </w:r>
      <w:r>
        <w:rPr>
          <w:rFonts w:hint="eastAsia" w:ascii="仿宋_GB2312" w:hAnsi="仿宋" w:cs="宋体"/>
          <w:kern w:val="0"/>
          <w:szCs w:val="28"/>
        </w:rPr>
        <w:t>其中，目标已细化为具体的绩效指标</w:t>
      </w:r>
      <w:r>
        <w:rPr>
          <w:rFonts w:hint="eastAsia" w:ascii="仿宋_GB2312" w:hAnsi="仿宋" w:cs="宋体"/>
          <w:kern w:val="0"/>
          <w:szCs w:val="28"/>
          <w:lang w:eastAsia="zh-CN"/>
        </w:rPr>
        <w:t>，</w:t>
      </w:r>
      <w:r>
        <w:rPr>
          <w:rFonts w:hint="eastAsia" w:ascii="仿宋_GB2312" w:hAnsi="仿宋" w:cs="宋体"/>
          <w:kern w:val="0"/>
          <w:szCs w:val="28"/>
          <w:lang w:val="en-US" w:eastAsia="zh-CN"/>
        </w:rPr>
        <w:t>数量指标三个：聘用保安岗位数，安保培训、演练次数，全年完成工作时间；质量指标1个：安保人员持证上岗率；</w:t>
      </w:r>
      <w:r>
        <w:rPr>
          <w:rFonts w:hint="eastAsia" w:ascii="仿宋_GB2312" w:hAnsi="仿宋" w:cs="宋体"/>
          <w:kern w:val="0"/>
          <w:szCs w:val="28"/>
        </w:rPr>
        <w:t>时效指标</w:t>
      </w:r>
      <w:r>
        <w:rPr>
          <w:rFonts w:hint="eastAsia" w:ascii="仿宋_GB2312" w:hAnsi="仿宋" w:cs="宋体"/>
          <w:kern w:val="0"/>
          <w:szCs w:val="28"/>
          <w:lang w:val="en-US" w:eastAsia="zh-CN"/>
        </w:rPr>
        <w:t>1个：项目完成及时率；</w:t>
      </w:r>
      <w:r>
        <w:rPr>
          <w:rFonts w:hint="eastAsia" w:ascii="仿宋_GB2312" w:hAnsi="仿宋" w:cs="宋体"/>
          <w:kern w:val="0"/>
          <w:szCs w:val="28"/>
        </w:rPr>
        <w:t>成本指标</w:t>
      </w:r>
      <w:r>
        <w:rPr>
          <w:rFonts w:hint="eastAsia" w:ascii="仿宋_GB2312" w:hAnsi="仿宋" w:cs="宋体"/>
          <w:kern w:val="0"/>
          <w:szCs w:val="28"/>
          <w:lang w:val="en-US" w:eastAsia="zh-CN"/>
        </w:rPr>
        <w:t>1个：项目预算控制率</w:t>
      </w:r>
      <w:r>
        <w:rPr>
          <w:rFonts w:hint="eastAsia" w:ascii="仿宋_GB2312" w:hAnsi="仿宋" w:cs="宋体"/>
          <w:kern w:val="0"/>
          <w:szCs w:val="28"/>
        </w:rPr>
        <w:t>，并具有确切的评价标准，且指标设定均与目标相关。各项指标均能在现实条件下收集到相关数据进行佐证</w:t>
      </w:r>
      <w:r>
        <w:rPr>
          <w:rFonts w:hint="eastAsia" w:ascii="仿宋_GB2312" w:hAnsi="仿宋" w:cs="宋体"/>
          <w:kern w:val="0"/>
          <w:szCs w:val="28"/>
          <w:lang w:eastAsia="zh-CN"/>
        </w:rPr>
        <w:t>，</w:t>
      </w:r>
      <w:r>
        <w:rPr>
          <w:rFonts w:hint="eastAsia" w:ascii="仿宋_GB2312" w:hAnsi="仿宋" w:cs="宋体"/>
          <w:kern w:val="0"/>
          <w:szCs w:val="28"/>
          <w:highlight w:val="none"/>
          <w:lang w:eastAsia="zh-CN"/>
        </w:rPr>
        <w:t>如通过场馆收集到实际的考勤表、消防演练报告、保安证等</w:t>
      </w:r>
      <w:r>
        <w:rPr>
          <w:rFonts w:hint="eastAsia" w:ascii="仿宋_GB2312" w:hAnsi="仿宋" w:cs="宋体"/>
          <w:kern w:val="0"/>
          <w:szCs w:val="28"/>
          <w:highlight w:val="none"/>
        </w:rPr>
        <w:t>，</w:t>
      </w:r>
      <w:r>
        <w:rPr>
          <w:rFonts w:hint="eastAsia" w:ascii="仿宋_GB2312" w:hAnsi="仿宋" w:cs="宋体"/>
          <w:kern w:val="0"/>
          <w:szCs w:val="28"/>
        </w:rPr>
        <w:t>并与当年项目年度计划相对应，故绩效目标明确性指标得分</w:t>
      </w:r>
      <w:r>
        <w:rPr>
          <w:rFonts w:ascii="仿宋_GB2312" w:hAnsi="仿宋" w:cs="宋体"/>
          <w:kern w:val="0"/>
          <w:szCs w:val="28"/>
        </w:rPr>
        <w:t>3</w:t>
      </w:r>
      <w:r>
        <w:rPr>
          <w:rFonts w:hint="eastAsia" w:ascii="仿宋_GB2312" w:hAnsi="仿宋" w:cs="宋体"/>
          <w:kern w:val="0"/>
          <w:szCs w:val="28"/>
        </w:rPr>
        <w:t>分。</w:t>
      </w:r>
    </w:p>
    <w:p w14:paraId="55B96559">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6</w:t>
      </w:r>
      <w:r>
        <w:rPr>
          <w:rFonts w:hint="eastAsia" w:ascii="仿宋_GB2312" w:hAnsi="仿宋" w:cs="宋体"/>
          <w:b/>
          <w:kern w:val="0"/>
          <w:szCs w:val="28"/>
        </w:rPr>
        <w:t>分，得分</w:t>
      </w:r>
      <w:r>
        <w:rPr>
          <w:rFonts w:hint="eastAsia" w:ascii="仿宋_GB2312" w:hAnsi="仿宋" w:cs="宋体"/>
          <w:b/>
          <w:kern w:val="0"/>
          <w:szCs w:val="28"/>
          <w:lang w:val="en-US" w:eastAsia="zh-CN"/>
        </w:rPr>
        <w:t>6</w:t>
      </w:r>
      <w:r>
        <w:rPr>
          <w:rFonts w:hint="eastAsia" w:ascii="仿宋_GB2312" w:hAnsi="仿宋" w:cs="宋体"/>
          <w:b/>
          <w:kern w:val="0"/>
          <w:szCs w:val="28"/>
        </w:rPr>
        <w:t>分。</w:t>
      </w:r>
    </w:p>
    <w:p w14:paraId="5274D72B">
      <w:pPr>
        <w:pStyle w:val="4"/>
        <w:ind w:firstLine="643"/>
      </w:pPr>
      <w:bookmarkStart w:id="37" w:name="_Toc165277244"/>
      <w:r>
        <w:rPr>
          <w:rFonts w:hint="eastAsia"/>
        </w:rPr>
        <w:t>3.资金投入</w:t>
      </w:r>
      <w:bookmarkEnd w:id="37"/>
    </w:p>
    <w:p w14:paraId="3C5655BE">
      <w:pPr>
        <w:autoSpaceDE w:val="0"/>
        <w:spacing w:line="600" w:lineRule="exact"/>
        <w:ind w:firstLine="562"/>
        <w:rPr>
          <w:rFonts w:ascii="仿宋_GB2312" w:hAnsi="仿宋" w:cs="宋体"/>
          <w:bCs/>
          <w:kern w:val="0"/>
          <w:szCs w:val="28"/>
        </w:rPr>
      </w:pPr>
      <w:r>
        <w:rPr>
          <w:rFonts w:hint="eastAsia" w:ascii="仿宋_GB2312" w:hAnsi="仿宋" w:cs="宋体"/>
          <w:b/>
          <w:kern w:val="0"/>
          <w:szCs w:val="28"/>
        </w:rPr>
        <w:t>预算编制科学性</w:t>
      </w:r>
      <w:r>
        <w:rPr>
          <w:rFonts w:hint="eastAsia" w:ascii="仿宋_GB2312" w:hAnsi="仿宋" w:cs="宋体"/>
          <w:b/>
          <w:kern w:val="0"/>
          <w:szCs w:val="28"/>
          <w:highlight w:val="none"/>
        </w:rPr>
        <w:t>：</w:t>
      </w:r>
      <w:r>
        <w:rPr>
          <w:rFonts w:hint="eastAsia" w:ascii="仿宋_GB2312" w:hAnsi="仿宋" w:cs="宋体"/>
          <w:kern w:val="0"/>
          <w:szCs w:val="28"/>
          <w:highlight w:val="none"/>
          <w:lang w:val="en-US" w:eastAsia="zh-CN"/>
        </w:rPr>
        <w:t>乌鲁木齐市博物馆（乌鲁木齐市革命历史纪念地管理中心）下设六个场馆，保安人员经费项目主要用于各场馆安保人员工资。根据往年保安人员经费项目预算计算2023年保安人员经费项目物业管理费用于支付聘用保安人员工资每岗每月2500元*34岗*12个月=102万元</w:t>
      </w:r>
      <w:r>
        <w:rPr>
          <w:rFonts w:hint="eastAsia" w:ascii="仿宋_GB2312" w:hAnsi="仿宋" w:cs="宋体"/>
          <w:kern w:val="0"/>
          <w:szCs w:val="28"/>
          <w:highlight w:val="none"/>
        </w:rPr>
        <w:t>。</w:t>
      </w:r>
      <w:r>
        <w:rPr>
          <w:rFonts w:hint="eastAsia" w:ascii="仿宋_GB2312" w:hAnsi="仿宋" w:cs="宋体"/>
          <w:kern w:val="0"/>
          <w:szCs w:val="28"/>
        </w:rPr>
        <w:t>故预算编制科学性指标得分</w:t>
      </w:r>
      <w:r>
        <w:rPr>
          <w:rFonts w:ascii="仿宋_GB2312" w:hAnsi="仿宋" w:cs="宋体"/>
          <w:kern w:val="0"/>
          <w:szCs w:val="28"/>
        </w:rPr>
        <w:t>3</w:t>
      </w:r>
      <w:r>
        <w:rPr>
          <w:rFonts w:hint="eastAsia" w:ascii="仿宋_GB2312" w:hAnsi="仿宋" w:cs="宋体"/>
          <w:kern w:val="0"/>
          <w:szCs w:val="28"/>
        </w:rPr>
        <w:t>分。</w:t>
      </w:r>
    </w:p>
    <w:p w14:paraId="0E5BAA51">
      <w:pPr>
        <w:autoSpaceDE w:val="0"/>
        <w:spacing w:line="600" w:lineRule="exact"/>
        <w:ind w:firstLine="0" w:firstLineChars="0"/>
        <w:rPr>
          <w:rFonts w:ascii="仿宋_GB2312" w:hAnsi="仿宋" w:cs="宋体"/>
          <w:bCs/>
          <w:kern w:val="0"/>
          <w:szCs w:val="28"/>
        </w:rPr>
      </w:pPr>
    </w:p>
    <w:p w14:paraId="452558F7">
      <w:pPr>
        <w:spacing w:line="360" w:lineRule="auto"/>
        <w:ind w:firstLine="562"/>
      </w:pPr>
      <w:r>
        <w:rPr>
          <w:rFonts w:hint="eastAsia"/>
          <w:b/>
          <w:bCs/>
        </w:rPr>
        <w:t>资金分配合理性</w:t>
      </w:r>
      <w:r>
        <w:rPr>
          <w:rFonts w:hint="eastAsia"/>
        </w:rPr>
        <w:t>：</w:t>
      </w:r>
      <w:r>
        <w:rPr>
          <w:rFonts w:hint="eastAsia"/>
          <w:lang w:eastAsia="zh-CN"/>
        </w:rPr>
        <w:t>根据《关于2023年市本级部门预算的批复》（乌财科教【2023】2号）文件批准，该部分资金均按规定由国家或地方财政全额拨款。</w:t>
      </w:r>
      <w:r>
        <w:rPr>
          <w:rFonts w:hint="eastAsia"/>
          <w:lang w:val="en-US" w:eastAsia="zh-CN"/>
        </w:rPr>
        <w:t>根据以往年度保安人员每岗工资数进行分配，</w:t>
      </w:r>
      <w:r>
        <w:rPr>
          <w:rFonts w:hint="eastAsia" w:ascii="仿宋_GB2312" w:hAnsi="仿宋" w:cs="宋体"/>
          <w:kern w:val="0"/>
          <w:szCs w:val="28"/>
        </w:rPr>
        <w:t>故资金分配合理性指标得分</w:t>
      </w:r>
      <w:r>
        <w:rPr>
          <w:rFonts w:ascii="仿宋_GB2312" w:hAnsi="仿宋" w:cs="宋体"/>
          <w:kern w:val="0"/>
          <w:szCs w:val="28"/>
        </w:rPr>
        <w:t>3</w:t>
      </w:r>
      <w:r>
        <w:rPr>
          <w:rFonts w:hint="eastAsia" w:ascii="仿宋_GB2312" w:hAnsi="仿宋" w:cs="宋体"/>
          <w:kern w:val="0"/>
          <w:szCs w:val="28"/>
        </w:rPr>
        <w:t>分。</w:t>
      </w:r>
    </w:p>
    <w:p w14:paraId="56B6ECB1">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6</w:t>
      </w:r>
      <w:r>
        <w:rPr>
          <w:rFonts w:hint="eastAsia" w:ascii="仿宋_GB2312" w:hAnsi="仿宋" w:cs="宋体"/>
          <w:b/>
          <w:kern w:val="0"/>
          <w:szCs w:val="28"/>
        </w:rPr>
        <w:t>分，得分</w:t>
      </w:r>
      <w:r>
        <w:rPr>
          <w:rFonts w:hint="eastAsia" w:ascii="仿宋_GB2312" w:hAnsi="仿宋" w:cs="宋体"/>
          <w:b/>
          <w:kern w:val="0"/>
          <w:szCs w:val="28"/>
          <w:lang w:val="en-US" w:eastAsia="zh-CN"/>
        </w:rPr>
        <w:t>6</w:t>
      </w:r>
      <w:r>
        <w:rPr>
          <w:rFonts w:hint="eastAsia" w:ascii="仿宋_GB2312" w:hAnsi="仿宋" w:cs="宋体"/>
          <w:b/>
          <w:kern w:val="0"/>
          <w:szCs w:val="28"/>
        </w:rPr>
        <w:t>分。</w:t>
      </w:r>
    </w:p>
    <w:p w14:paraId="445F2DD5">
      <w:pPr>
        <w:pStyle w:val="3"/>
        <w:ind w:firstLine="643"/>
        <w:rPr>
          <w:rFonts w:ascii="仿宋" w:hAnsi="仿宋" w:eastAsia="仿宋"/>
          <w:lang w:bidi="en-US"/>
        </w:rPr>
      </w:pPr>
      <w:bookmarkStart w:id="38" w:name="_Toc165277245"/>
      <w:bookmarkStart w:id="39" w:name="_Toc67911613"/>
      <w:r>
        <w:rPr>
          <w:rFonts w:hint="eastAsia" w:ascii="仿宋" w:hAnsi="仿宋" w:eastAsia="仿宋"/>
          <w:lang w:bidi="en-US"/>
        </w:rPr>
        <w:t>（二）项目过程情况</w:t>
      </w:r>
      <w:bookmarkEnd w:id="38"/>
      <w:bookmarkEnd w:id="39"/>
    </w:p>
    <w:p w14:paraId="3E1E2992">
      <w:pPr>
        <w:spacing w:line="360" w:lineRule="auto"/>
        <w:ind w:firstLine="560"/>
        <w:rPr>
          <w:rFonts w:ascii="仿宋_GB2312"/>
          <w:szCs w:val="28"/>
        </w:rPr>
      </w:pPr>
      <w:r>
        <w:rPr>
          <w:rFonts w:hint="eastAsia" w:ascii="仿宋_GB2312"/>
          <w:szCs w:val="28"/>
        </w:rPr>
        <w:t>项目过程指标由2个二级指标和</w:t>
      </w:r>
      <w:r>
        <w:rPr>
          <w:rFonts w:ascii="仿宋_GB2312"/>
          <w:szCs w:val="28"/>
        </w:rPr>
        <w:t>5</w:t>
      </w:r>
      <w:r>
        <w:rPr>
          <w:rFonts w:hint="eastAsia" w:ascii="仿宋_GB2312"/>
          <w:szCs w:val="28"/>
        </w:rPr>
        <w:t>个三级指标构成，权重为</w:t>
      </w:r>
      <w:r>
        <w:rPr>
          <w:rFonts w:ascii="仿宋_GB2312"/>
          <w:szCs w:val="28"/>
        </w:rPr>
        <w:t>20</w:t>
      </w:r>
      <w:r>
        <w:rPr>
          <w:rFonts w:hint="eastAsia" w:ascii="仿宋_GB2312"/>
          <w:szCs w:val="28"/>
        </w:rPr>
        <w:t>分，实际得分</w:t>
      </w:r>
      <w:r>
        <w:rPr>
          <w:rFonts w:hint="eastAsia" w:ascii="仿宋_GB2312"/>
          <w:szCs w:val="28"/>
          <w:lang w:val="en-US" w:eastAsia="zh-CN"/>
        </w:rPr>
        <w:t>20</w:t>
      </w:r>
      <w:r>
        <w:rPr>
          <w:rFonts w:hint="eastAsia" w:ascii="仿宋_GB2312"/>
          <w:szCs w:val="28"/>
        </w:rPr>
        <w:t>分。</w:t>
      </w:r>
    </w:p>
    <w:p w14:paraId="1C96EB4F">
      <w:pPr>
        <w:pStyle w:val="4"/>
        <w:ind w:firstLine="643"/>
      </w:pPr>
      <w:bookmarkStart w:id="40" w:name="_Toc165277246"/>
      <w:r>
        <w:t>1.</w:t>
      </w:r>
      <w:r>
        <w:rPr>
          <w:rFonts w:hint="eastAsia"/>
        </w:rPr>
        <w:t>资金管理</w:t>
      </w:r>
      <w:bookmarkEnd w:id="40"/>
    </w:p>
    <w:p w14:paraId="2075F88A">
      <w:pPr>
        <w:spacing w:line="360" w:lineRule="auto"/>
        <w:ind w:firstLine="562"/>
        <w:rPr>
          <w:rFonts w:ascii="仿宋_GB2312"/>
          <w:szCs w:val="28"/>
          <w:highlight w:val="none"/>
        </w:rPr>
      </w:pPr>
      <w:r>
        <w:rPr>
          <w:rFonts w:hint="eastAsia" w:ascii="仿宋_GB2312"/>
          <w:b/>
          <w:bCs/>
          <w:szCs w:val="28"/>
        </w:rPr>
        <w:t>资金到位率</w:t>
      </w:r>
      <w:r>
        <w:rPr>
          <w:rFonts w:hint="eastAsia" w:ascii="仿宋_GB2312"/>
          <w:b/>
          <w:bCs/>
          <w:szCs w:val="28"/>
          <w:highlight w:val="none"/>
        </w:rPr>
        <w:t>：</w:t>
      </w:r>
      <w:r>
        <w:rPr>
          <w:rFonts w:hint="eastAsia" w:ascii="仿宋_GB2312"/>
          <w:szCs w:val="28"/>
          <w:highlight w:val="none"/>
        </w:rPr>
        <w:t>该项目资金由财政拨付，在2023年</w:t>
      </w:r>
      <w:r>
        <w:rPr>
          <w:rFonts w:hint="eastAsia" w:ascii="仿宋_GB2312"/>
          <w:szCs w:val="28"/>
          <w:highlight w:val="none"/>
          <w:lang w:val="en-US" w:eastAsia="zh-CN"/>
        </w:rPr>
        <w:t>年初</w:t>
      </w:r>
      <w:r>
        <w:rPr>
          <w:rFonts w:hint="eastAsia" w:ascii="仿宋_GB2312"/>
          <w:szCs w:val="28"/>
          <w:highlight w:val="none"/>
          <w:lang w:eastAsia="zh-CN"/>
        </w:rPr>
        <w:t>全部</w:t>
      </w:r>
      <w:r>
        <w:rPr>
          <w:rFonts w:hint="eastAsia" w:ascii="仿宋_GB2312"/>
          <w:szCs w:val="28"/>
          <w:highlight w:val="none"/>
        </w:rPr>
        <w:t>到位，资金直接支付到</w:t>
      </w:r>
      <w:r>
        <w:rPr>
          <w:rFonts w:hint="eastAsia" w:ascii="仿宋_GB2312"/>
          <w:szCs w:val="28"/>
          <w:highlight w:val="none"/>
          <w:lang w:eastAsia="zh-CN"/>
        </w:rPr>
        <w:t>乌鲁木齐市亚心安疆保安服务有限责任公司</w:t>
      </w:r>
      <w:r>
        <w:rPr>
          <w:rFonts w:hint="eastAsia" w:ascii="仿宋_GB2312" w:hAnsi="仿宋" w:cs="宋体"/>
          <w:b/>
          <w:kern w:val="0"/>
          <w:szCs w:val="28"/>
          <w:highlight w:val="none"/>
        </w:rPr>
        <w:t>。</w:t>
      </w:r>
      <w:r>
        <w:rPr>
          <w:rFonts w:hint="eastAsia" w:ascii="仿宋_GB2312" w:hAnsi="仿宋" w:cs="宋体"/>
          <w:b/>
          <w:kern w:val="0"/>
          <w:szCs w:val="28"/>
          <w:highlight w:val="none"/>
          <w:lang w:val="en-US" w:eastAsia="zh-CN"/>
        </w:rPr>
        <w:t>资金到位率100%，</w:t>
      </w:r>
      <w:r>
        <w:rPr>
          <w:rFonts w:hint="eastAsia" w:ascii="仿宋_GB2312" w:hAnsi="仿宋" w:cs="宋体"/>
          <w:kern w:val="0"/>
          <w:szCs w:val="28"/>
          <w:highlight w:val="none"/>
        </w:rPr>
        <w:t>故资金到位率指标得分</w:t>
      </w:r>
      <w:r>
        <w:rPr>
          <w:rFonts w:hint="eastAsia" w:ascii="仿宋_GB2312" w:hAnsi="仿宋" w:cs="宋体"/>
          <w:kern w:val="0"/>
          <w:szCs w:val="28"/>
          <w:highlight w:val="none"/>
          <w:lang w:val="en-US" w:eastAsia="zh-CN"/>
        </w:rPr>
        <w:t>5</w:t>
      </w:r>
      <w:r>
        <w:rPr>
          <w:rFonts w:hint="eastAsia" w:ascii="仿宋_GB2312" w:hAnsi="仿宋" w:cs="宋体"/>
          <w:kern w:val="0"/>
          <w:szCs w:val="28"/>
          <w:highlight w:val="none"/>
        </w:rPr>
        <w:t>分。</w:t>
      </w:r>
    </w:p>
    <w:p w14:paraId="00C00191">
      <w:pPr>
        <w:spacing w:line="360" w:lineRule="auto"/>
        <w:ind w:firstLine="562"/>
        <w:rPr>
          <w:rFonts w:ascii="仿宋_GB2312"/>
          <w:szCs w:val="28"/>
          <w:highlight w:val="none"/>
        </w:rPr>
      </w:pPr>
      <w:r>
        <w:rPr>
          <w:rFonts w:hint="eastAsia" w:ascii="仿宋_GB2312"/>
          <w:b/>
          <w:bCs/>
          <w:szCs w:val="28"/>
          <w:highlight w:val="none"/>
        </w:rPr>
        <w:t>预算执行率：</w:t>
      </w:r>
      <w:r>
        <w:rPr>
          <w:rFonts w:hint="eastAsia" w:ascii="仿宋_GB2312"/>
          <w:szCs w:val="28"/>
          <w:highlight w:val="none"/>
        </w:rPr>
        <w:t>项目预算资金按照计划执行</w:t>
      </w:r>
      <w:r>
        <w:rPr>
          <w:rFonts w:hint="eastAsia" w:ascii="仿宋_GB2312"/>
          <w:szCs w:val="28"/>
          <w:highlight w:val="none"/>
          <w:lang w:eastAsia="zh-CN"/>
        </w:rPr>
        <w:t>，</w:t>
      </w:r>
      <w:r>
        <w:rPr>
          <w:rFonts w:hint="eastAsia" w:ascii="仿宋_GB2312"/>
          <w:szCs w:val="28"/>
          <w:highlight w:val="none"/>
        </w:rPr>
        <w:t>该项目资金</w:t>
      </w:r>
      <w:r>
        <w:rPr>
          <w:rFonts w:hint="eastAsia" w:ascii="仿宋_GB2312"/>
          <w:szCs w:val="28"/>
          <w:highlight w:val="none"/>
          <w:lang w:val="en-US" w:eastAsia="zh-CN"/>
        </w:rPr>
        <w:t>2023年共分两笔支付给乌鲁木齐市亚心安疆保安服务有限责任公司，第一笔为2023年10月16日支付51万元；第二笔为2023年12月21日支付50.28万元；两笔合计101.28万元，</w:t>
      </w:r>
      <w:r>
        <w:rPr>
          <w:rFonts w:hint="eastAsia" w:ascii="仿宋_GB2312"/>
          <w:highlight w:val="none"/>
          <w:lang w:val="en-US" w:eastAsia="zh-CN"/>
        </w:rPr>
        <w:t>节约了0.72万元，被财政收回，预算执行率为100%，</w:t>
      </w:r>
      <w:r>
        <w:rPr>
          <w:rFonts w:hint="eastAsia" w:ascii="仿宋_GB2312"/>
          <w:szCs w:val="28"/>
          <w:highlight w:val="none"/>
        </w:rPr>
        <w:t>故预算执行率得分为</w:t>
      </w:r>
      <w:r>
        <w:rPr>
          <w:rFonts w:hint="eastAsia" w:ascii="仿宋_GB2312"/>
          <w:szCs w:val="28"/>
          <w:highlight w:val="none"/>
          <w:lang w:val="en-US" w:eastAsia="zh-CN"/>
        </w:rPr>
        <w:t>5</w:t>
      </w:r>
      <w:r>
        <w:rPr>
          <w:rFonts w:hint="eastAsia" w:ascii="仿宋_GB2312"/>
          <w:szCs w:val="28"/>
          <w:highlight w:val="none"/>
        </w:rPr>
        <w:t>分。</w:t>
      </w:r>
    </w:p>
    <w:p w14:paraId="53A528B9">
      <w:pPr>
        <w:spacing w:line="360" w:lineRule="auto"/>
        <w:ind w:firstLine="562"/>
        <w:rPr>
          <w:rFonts w:ascii="仿宋_GB2312"/>
          <w:b/>
          <w:bCs/>
          <w:szCs w:val="28"/>
        </w:rPr>
      </w:pPr>
    </w:p>
    <w:p w14:paraId="56DC8FE4">
      <w:pPr>
        <w:spacing w:line="360" w:lineRule="auto"/>
        <w:ind w:firstLine="562"/>
        <w:rPr>
          <w:rFonts w:ascii="仿宋_GB2312"/>
          <w:szCs w:val="28"/>
          <w:highlight w:val="none"/>
        </w:rPr>
      </w:pPr>
      <w:r>
        <w:rPr>
          <w:rFonts w:hint="eastAsia" w:ascii="仿宋_GB2312"/>
          <w:b/>
          <w:bCs/>
          <w:szCs w:val="28"/>
        </w:rPr>
        <w:t>资金使用合规性：</w:t>
      </w:r>
      <w:r>
        <w:rPr>
          <w:rFonts w:hint="eastAsia" w:ascii="仿宋_GB2312"/>
          <w:szCs w:val="28"/>
          <w:highlight w:val="none"/>
        </w:rPr>
        <w:t>本项目资金的使用符合</w:t>
      </w:r>
      <w:r>
        <w:rPr>
          <w:rFonts w:hint="eastAsia" w:ascii="仿宋_GB2312"/>
          <w:szCs w:val="28"/>
          <w:highlight w:val="none"/>
          <w:lang w:eastAsia="zh-CN"/>
        </w:rPr>
        <w:t>《</w:t>
      </w:r>
      <w:r>
        <w:rPr>
          <w:rFonts w:hint="eastAsia" w:ascii="仿宋_GB2312"/>
          <w:szCs w:val="28"/>
          <w:highlight w:val="none"/>
          <w:lang w:val="en-US" w:eastAsia="zh-CN"/>
        </w:rPr>
        <w:t>乌鲁木齐市博物馆</w:t>
      </w:r>
      <w:r>
        <w:rPr>
          <w:rFonts w:hint="eastAsia" w:ascii="仿宋_GB2312"/>
          <w:szCs w:val="28"/>
          <w:highlight w:val="none"/>
        </w:rPr>
        <w:t>财务管理制度</w:t>
      </w:r>
      <w:r>
        <w:rPr>
          <w:rFonts w:hint="eastAsia" w:ascii="仿宋_GB2312"/>
          <w:szCs w:val="28"/>
          <w:highlight w:val="none"/>
          <w:lang w:eastAsia="zh-CN"/>
        </w:rPr>
        <w:t>》</w:t>
      </w:r>
      <w:r>
        <w:rPr>
          <w:rFonts w:hint="eastAsia" w:ascii="仿宋_GB2312"/>
          <w:szCs w:val="28"/>
          <w:highlight w:val="none"/>
        </w:rPr>
        <w:t>规定。同时，资金的拨付</w:t>
      </w:r>
      <w:r>
        <w:rPr>
          <w:rFonts w:hint="eastAsia" w:ascii="仿宋_GB2312"/>
          <w:szCs w:val="28"/>
          <w:highlight w:val="none"/>
          <w:lang w:val="en-US" w:eastAsia="zh-CN"/>
        </w:rPr>
        <w:t>财政局审批后，支付首先经过单位党组会决定后报文旅局党组会决定同意后进行支付，</w:t>
      </w:r>
      <w:r>
        <w:rPr>
          <w:rFonts w:hint="eastAsia" w:ascii="仿宋_GB2312"/>
          <w:szCs w:val="28"/>
          <w:highlight w:val="none"/>
        </w:rPr>
        <w:t>符合项目预算批复或合同规定的用途，不存在截留、挤占、挪用、虚列支出等情况。故资金使用合规性得分为3分。</w:t>
      </w:r>
    </w:p>
    <w:p w14:paraId="0E376208">
      <w:pPr>
        <w:autoSpaceDE w:val="0"/>
        <w:spacing w:line="600" w:lineRule="exact"/>
        <w:ind w:firstLine="562"/>
        <w:rPr>
          <w:rFonts w:ascii="仿宋_GB2312" w:hAnsi="仿宋" w:cs="宋体"/>
          <w:b/>
          <w:kern w:val="0"/>
          <w:szCs w:val="28"/>
          <w:highlight w:val="none"/>
        </w:rPr>
      </w:pPr>
      <w:r>
        <w:rPr>
          <w:rFonts w:hint="eastAsia" w:ascii="仿宋_GB2312" w:hAnsi="仿宋" w:cs="宋体"/>
          <w:b/>
          <w:kern w:val="0"/>
          <w:szCs w:val="28"/>
          <w:highlight w:val="none"/>
        </w:rPr>
        <w:t>综上，该指标满分</w:t>
      </w:r>
      <w:r>
        <w:rPr>
          <w:rFonts w:ascii="仿宋_GB2312" w:hAnsi="仿宋" w:cs="宋体"/>
          <w:b/>
          <w:kern w:val="0"/>
          <w:szCs w:val="28"/>
          <w:highlight w:val="none"/>
        </w:rPr>
        <w:t>13</w:t>
      </w:r>
      <w:r>
        <w:rPr>
          <w:rFonts w:hint="eastAsia" w:ascii="仿宋_GB2312" w:hAnsi="仿宋" w:cs="宋体"/>
          <w:b/>
          <w:kern w:val="0"/>
          <w:szCs w:val="28"/>
          <w:highlight w:val="none"/>
        </w:rPr>
        <w:t>分，得分</w:t>
      </w:r>
      <w:r>
        <w:rPr>
          <w:rFonts w:hint="eastAsia" w:ascii="仿宋_GB2312" w:hAnsi="仿宋" w:cs="宋体"/>
          <w:b/>
          <w:kern w:val="0"/>
          <w:szCs w:val="28"/>
          <w:highlight w:val="none"/>
          <w:lang w:val="en-US" w:eastAsia="zh-CN"/>
        </w:rPr>
        <w:t>13</w:t>
      </w:r>
      <w:r>
        <w:rPr>
          <w:rFonts w:hint="eastAsia" w:ascii="仿宋_GB2312" w:hAnsi="仿宋" w:cs="宋体"/>
          <w:b/>
          <w:kern w:val="0"/>
          <w:szCs w:val="28"/>
          <w:highlight w:val="none"/>
        </w:rPr>
        <w:t>分。</w:t>
      </w:r>
    </w:p>
    <w:p w14:paraId="641FD386">
      <w:pPr>
        <w:pStyle w:val="4"/>
        <w:ind w:firstLine="643"/>
        <w:rPr>
          <w:highlight w:val="none"/>
        </w:rPr>
      </w:pPr>
      <w:bookmarkStart w:id="41" w:name="_Toc165277247"/>
      <w:r>
        <w:rPr>
          <w:highlight w:val="none"/>
        </w:rPr>
        <w:t>2.</w:t>
      </w:r>
      <w:r>
        <w:rPr>
          <w:rFonts w:hint="eastAsia"/>
          <w:highlight w:val="none"/>
        </w:rPr>
        <w:t>组织实施</w:t>
      </w:r>
      <w:bookmarkEnd w:id="41"/>
    </w:p>
    <w:p w14:paraId="404CD448">
      <w:pPr>
        <w:spacing w:line="360" w:lineRule="auto"/>
        <w:ind w:firstLine="562"/>
        <w:rPr>
          <w:rFonts w:ascii="仿宋_GB2312"/>
          <w:szCs w:val="28"/>
          <w:highlight w:val="none"/>
        </w:rPr>
      </w:pPr>
      <w:r>
        <w:rPr>
          <w:rFonts w:hint="eastAsia" w:ascii="仿宋_GB2312"/>
          <w:b/>
          <w:bCs/>
          <w:szCs w:val="28"/>
          <w:highlight w:val="none"/>
        </w:rPr>
        <w:t>管理制度健全性</w:t>
      </w:r>
      <w:r>
        <w:rPr>
          <w:rFonts w:hint="eastAsia" w:ascii="仿宋_GB2312"/>
          <w:szCs w:val="28"/>
          <w:highlight w:val="none"/>
        </w:rPr>
        <w:t>：</w:t>
      </w:r>
      <w:r>
        <w:rPr>
          <w:rFonts w:hint="eastAsia" w:ascii="仿宋_GB2312" w:hAnsi="仿宋" w:cs="宋体"/>
          <w:kern w:val="0"/>
          <w:szCs w:val="28"/>
          <w:highlight w:val="none"/>
          <w:lang w:val="en-US" w:eastAsia="zh-CN"/>
        </w:rPr>
        <w:t>乌鲁木齐市博物馆（乌鲁木齐市革命历史纪念地管理中心）</w:t>
      </w:r>
      <w:r>
        <w:rPr>
          <w:rFonts w:hint="eastAsia" w:ascii="仿宋_GB2312"/>
          <w:szCs w:val="28"/>
          <w:highlight w:val="none"/>
        </w:rPr>
        <w:t>已制定</w:t>
      </w:r>
      <w:r>
        <w:rPr>
          <w:rFonts w:hint="eastAsia" w:ascii="仿宋_GB2312"/>
          <w:szCs w:val="28"/>
          <w:highlight w:val="none"/>
          <w:lang w:val="en-US" w:eastAsia="zh-CN"/>
        </w:rPr>
        <w:t>内控管理制度</w:t>
      </w:r>
      <w:r>
        <w:rPr>
          <w:rFonts w:hint="eastAsia" w:ascii="仿宋_GB2312"/>
          <w:szCs w:val="28"/>
          <w:highlight w:val="none"/>
        </w:rPr>
        <w:t>，且制</w:t>
      </w:r>
      <w:r>
        <w:rPr>
          <w:rFonts w:hint="eastAsia" w:ascii="仿宋_GB2312"/>
          <w:szCs w:val="28"/>
        </w:rPr>
        <w:t>度合法、合规、完整，为项目顺利实施提供重要保障。故管理制度健全</w:t>
      </w:r>
      <w:r>
        <w:rPr>
          <w:rFonts w:hint="eastAsia" w:ascii="仿宋_GB2312"/>
          <w:szCs w:val="28"/>
          <w:highlight w:val="none"/>
        </w:rPr>
        <w:t>性得分为3分。</w:t>
      </w:r>
    </w:p>
    <w:p w14:paraId="4DF2EF9E">
      <w:pPr>
        <w:spacing w:line="360" w:lineRule="auto"/>
        <w:ind w:firstLine="562"/>
        <w:rPr>
          <w:rFonts w:ascii="仿宋_GB2312"/>
          <w:szCs w:val="28"/>
        </w:rPr>
      </w:pPr>
      <w:r>
        <w:rPr>
          <w:rFonts w:hint="eastAsia" w:ascii="仿宋_GB2312"/>
          <w:b/>
          <w:bCs/>
          <w:szCs w:val="28"/>
          <w:highlight w:val="none"/>
        </w:rPr>
        <w:t>制度执行有效性：</w:t>
      </w:r>
      <w:r>
        <w:rPr>
          <w:rFonts w:hint="eastAsia" w:ascii="仿宋_GB2312"/>
          <w:szCs w:val="28"/>
          <w:highlight w:val="none"/>
        </w:rPr>
        <w:t>根据评价小组核查情况，</w:t>
      </w:r>
      <w:r>
        <w:rPr>
          <w:rFonts w:hint="eastAsia" w:ascii="仿宋_GB2312" w:hAnsi="仿宋" w:cs="宋体"/>
          <w:kern w:val="0"/>
          <w:szCs w:val="28"/>
          <w:highlight w:val="none"/>
          <w:lang w:val="en-US" w:eastAsia="zh-CN"/>
        </w:rPr>
        <w:t>乌鲁木齐市博物馆（乌鲁木齐市革命历史纪念地管理中心）</w:t>
      </w:r>
      <w:r>
        <w:rPr>
          <w:rFonts w:hint="eastAsia" w:ascii="仿宋_GB2312"/>
          <w:szCs w:val="28"/>
          <w:highlight w:val="none"/>
        </w:rPr>
        <w:t>严</w:t>
      </w:r>
      <w:r>
        <w:rPr>
          <w:rFonts w:hint="eastAsia" w:ascii="仿宋_GB2312"/>
          <w:szCs w:val="28"/>
        </w:rPr>
        <w:t>格遵守相关法律法规和相关管理规定，项目调整及支出调整手续完备，整体管理合理有序，项目完成后，及时将会计凭证等相关资料分类归档，制度执行有效。故制度执行有效性指标得分</w:t>
      </w:r>
      <w:r>
        <w:rPr>
          <w:rFonts w:ascii="仿宋_GB2312"/>
          <w:szCs w:val="28"/>
        </w:rPr>
        <w:t>4</w:t>
      </w:r>
      <w:r>
        <w:rPr>
          <w:rFonts w:hint="eastAsia" w:ascii="仿宋_GB2312"/>
          <w:szCs w:val="28"/>
        </w:rPr>
        <w:t>分。</w:t>
      </w:r>
    </w:p>
    <w:p w14:paraId="499FE12D">
      <w:pPr>
        <w:autoSpaceDE w:val="0"/>
        <w:spacing w:line="600" w:lineRule="exact"/>
        <w:ind w:firstLine="562"/>
        <w:rPr>
          <w:rFonts w:ascii="仿宋_GB2312" w:hAnsi="仿宋" w:cs="宋体"/>
          <w:b/>
          <w:kern w:val="0"/>
          <w:szCs w:val="28"/>
        </w:rPr>
      </w:pPr>
      <w:bookmarkStart w:id="42" w:name="_Hlk67670213"/>
      <w:r>
        <w:rPr>
          <w:rFonts w:hint="eastAsia" w:ascii="仿宋_GB2312" w:hAnsi="仿宋" w:cs="宋体"/>
          <w:b/>
          <w:kern w:val="0"/>
          <w:szCs w:val="28"/>
        </w:rPr>
        <w:t>综上，该指标满分</w:t>
      </w:r>
      <w:r>
        <w:rPr>
          <w:rFonts w:ascii="仿宋_GB2312" w:hAnsi="仿宋" w:cs="宋体"/>
          <w:b/>
          <w:kern w:val="0"/>
          <w:szCs w:val="28"/>
        </w:rPr>
        <w:t>7</w:t>
      </w:r>
      <w:r>
        <w:rPr>
          <w:rFonts w:hint="eastAsia" w:ascii="仿宋_GB2312" w:hAnsi="仿宋" w:cs="宋体"/>
          <w:b/>
          <w:kern w:val="0"/>
          <w:szCs w:val="28"/>
        </w:rPr>
        <w:t>分，得分</w:t>
      </w:r>
      <w:r>
        <w:rPr>
          <w:rFonts w:ascii="仿宋_GB2312" w:hAnsi="仿宋" w:cs="宋体"/>
          <w:b/>
          <w:kern w:val="0"/>
          <w:szCs w:val="28"/>
        </w:rPr>
        <w:t>7</w:t>
      </w:r>
      <w:r>
        <w:rPr>
          <w:rFonts w:hint="eastAsia" w:ascii="仿宋_GB2312" w:hAnsi="仿宋" w:cs="宋体"/>
          <w:b/>
          <w:kern w:val="0"/>
          <w:szCs w:val="28"/>
        </w:rPr>
        <w:t>分。</w:t>
      </w:r>
    </w:p>
    <w:bookmarkEnd w:id="42"/>
    <w:p w14:paraId="385D0D8E">
      <w:pPr>
        <w:pStyle w:val="3"/>
        <w:ind w:firstLine="643"/>
        <w:rPr>
          <w:rFonts w:ascii="仿宋" w:hAnsi="仿宋" w:eastAsia="仿宋"/>
          <w:lang w:bidi="en-US"/>
        </w:rPr>
      </w:pPr>
      <w:bookmarkStart w:id="43" w:name="_Toc165277248"/>
      <w:bookmarkStart w:id="44" w:name="_Toc67911614"/>
      <w:r>
        <w:rPr>
          <w:rFonts w:hint="eastAsia" w:ascii="仿宋" w:hAnsi="仿宋" w:eastAsia="仿宋"/>
          <w:lang w:bidi="en-US"/>
        </w:rPr>
        <w:t>（三）项目产出情况</w:t>
      </w:r>
      <w:bookmarkEnd w:id="43"/>
      <w:bookmarkEnd w:id="44"/>
    </w:p>
    <w:p w14:paraId="6088B3AA">
      <w:pPr>
        <w:spacing w:line="360" w:lineRule="auto"/>
        <w:ind w:firstLine="560"/>
        <w:rPr>
          <w:rFonts w:ascii="仿宋_GB2312"/>
          <w:szCs w:val="28"/>
        </w:rPr>
      </w:pPr>
      <w:r>
        <w:rPr>
          <w:rFonts w:hint="eastAsia" w:ascii="仿宋_GB2312"/>
          <w:szCs w:val="28"/>
        </w:rPr>
        <w:t>项目产出指标由</w:t>
      </w:r>
      <w:r>
        <w:rPr>
          <w:rFonts w:ascii="仿宋_GB2312"/>
          <w:szCs w:val="28"/>
        </w:rPr>
        <w:t>4</w:t>
      </w:r>
      <w:r>
        <w:rPr>
          <w:rFonts w:hint="eastAsia" w:ascii="仿宋_GB2312"/>
          <w:szCs w:val="28"/>
        </w:rPr>
        <w:t>个二级指标和</w:t>
      </w:r>
      <w:r>
        <w:rPr>
          <w:rFonts w:hint="eastAsia" w:ascii="仿宋_GB2312"/>
          <w:szCs w:val="28"/>
          <w:lang w:val="en-US" w:eastAsia="zh-CN"/>
        </w:rPr>
        <w:t>6</w:t>
      </w:r>
      <w:r>
        <w:rPr>
          <w:rFonts w:hint="eastAsia" w:ascii="仿宋_GB2312"/>
          <w:szCs w:val="28"/>
        </w:rPr>
        <w:t>个三级指标构成，权重为</w:t>
      </w:r>
      <w:r>
        <w:rPr>
          <w:rFonts w:ascii="仿宋_GB2312"/>
          <w:szCs w:val="28"/>
        </w:rPr>
        <w:t>40</w:t>
      </w:r>
      <w:r>
        <w:rPr>
          <w:rFonts w:hint="eastAsia" w:ascii="仿宋_GB2312"/>
          <w:szCs w:val="28"/>
        </w:rPr>
        <w:t>分，实际得分</w:t>
      </w:r>
      <w:r>
        <w:rPr>
          <w:rFonts w:hint="eastAsia" w:ascii="仿宋_GB2312"/>
          <w:szCs w:val="28"/>
          <w:lang w:val="en-US" w:eastAsia="zh-CN"/>
        </w:rPr>
        <w:t>40</w:t>
      </w:r>
      <w:r>
        <w:rPr>
          <w:rFonts w:hint="eastAsia" w:ascii="仿宋_GB2312"/>
          <w:szCs w:val="28"/>
        </w:rPr>
        <w:t>分。</w:t>
      </w:r>
    </w:p>
    <w:p w14:paraId="2900CA68">
      <w:pPr>
        <w:pStyle w:val="4"/>
        <w:ind w:firstLine="643"/>
      </w:pPr>
      <w:bookmarkStart w:id="45" w:name="_Toc165277249"/>
      <w:r>
        <w:rPr>
          <w:rFonts w:hint="eastAsia"/>
        </w:rPr>
        <w:t>1</w:t>
      </w:r>
      <w:r>
        <w:t>.</w:t>
      </w:r>
      <w:r>
        <w:rPr>
          <w:rFonts w:hint="eastAsia"/>
        </w:rPr>
        <w:t>产出数量</w:t>
      </w:r>
      <w:bookmarkEnd w:id="45"/>
    </w:p>
    <w:p w14:paraId="4C8BB991">
      <w:pPr>
        <w:spacing w:line="360" w:lineRule="auto"/>
        <w:ind w:firstLine="560"/>
        <w:rPr>
          <w:rFonts w:ascii="仿宋_GB2312"/>
          <w:bCs/>
          <w:szCs w:val="28"/>
        </w:rPr>
      </w:pPr>
      <w:r>
        <w:rPr>
          <w:rFonts w:hint="eastAsia" w:ascii="仿宋_GB2312"/>
          <w:bCs/>
          <w:szCs w:val="28"/>
        </w:rPr>
        <w:t>数量指标“聘用保安岗位数”的目标值是</w:t>
      </w:r>
      <w:r>
        <w:rPr>
          <w:rFonts w:hint="eastAsia" w:ascii="仿宋_GB2312"/>
          <w:bCs/>
          <w:szCs w:val="28"/>
          <w:lang w:val="en-US" w:eastAsia="zh-CN"/>
        </w:rPr>
        <w:t>34</w:t>
      </w:r>
      <w:r>
        <w:rPr>
          <w:rFonts w:hint="eastAsia" w:ascii="仿宋_GB2312"/>
          <w:bCs/>
          <w:szCs w:val="28"/>
          <w:lang w:eastAsia="zh-CN"/>
        </w:rPr>
        <w:t>岗</w:t>
      </w:r>
      <w:r>
        <w:rPr>
          <w:rFonts w:hint="eastAsia" w:ascii="仿宋_GB2312"/>
          <w:bCs/>
          <w:szCs w:val="28"/>
        </w:rPr>
        <w:t>，2023</w:t>
      </w:r>
      <w:r>
        <w:rPr>
          <w:rFonts w:ascii="仿宋_GB2312"/>
          <w:bCs/>
          <w:szCs w:val="28"/>
        </w:rPr>
        <w:t>年度我单位实际完成</w:t>
      </w:r>
      <w:r>
        <w:rPr>
          <w:rFonts w:hint="eastAsia" w:ascii="仿宋_GB2312"/>
          <w:bCs/>
          <w:szCs w:val="28"/>
          <w:lang w:val="en-US" w:eastAsia="zh-CN"/>
        </w:rPr>
        <w:t>34</w:t>
      </w:r>
      <w:r>
        <w:rPr>
          <w:rFonts w:hint="eastAsia" w:ascii="仿宋_GB2312"/>
          <w:bCs/>
          <w:szCs w:val="28"/>
          <w:lang w:eastAsia="zh-CN"/>
        </w:rPr>
        <w:t>岗</w:t>
      </w:r>
      <w:r>
        <w:rPr>
          <w:rFonts w:hint="eastAsia" w:ascii="仿宋_GB2312"/>
          <w:bCs/>
          <w:szCs w:val="28"/>
        </w:rPr>
        <w:t>，原因是</w:t>
      </w:r>
      <w:r>
        <w:rPr>
          <w:rFonts w:hint="eastAsia" w:ascii="仿宋_GB2312"/>
          <w:bCs/>
          <w:szCs w:val="28"/>
          <w:lang w:eastAsia="zh-CN"/>
        </w:rPr>
        <w:t>根据</w:t>
      </w:r>
      <w:r>
        <w:rPr>
          <w:rFonts w:hint="eastAsia" w:ascii="仿宋_GB2312"/>
          <w:bCs/>
          <w:szCs w:val="28"/>
        </w:rPr>
        <w:t>保安劳务派遣合同书</w:t>
      </w:r>
      <w:r>
        <w:rPr>
          <w:rFonts w:hint="eastAsia" w:ascii="仿宋_GB2312"/>
          <w:bCs/>
          <w:szCs w:val="28"/>
          <w:lang w:eastAsia="zh-CN"/>
        </w:rPr>
        <w:t>约定</w:t>
      </w:r>
      <w:r>
        <w:rPr>
          <w:rFonts w:hint="eastAsia" w:ascii="仿宋_GB2312"/>
          <w:bCs/>
          <w:szCs w:val="28"/>
        </w:rPr>
        <w:t>，补充说明：八路军办事处34岗、故居8岗、文庙6岗、西路军6岗、文昌阁6岗，合计</w:t>
      </w:r>
      <w:r>
        <w:rPr>
          <w:rFonts w:hint="eastAsia" w:ascii="仿宋_GB2312"/>
          <w:bCs/>
          <w:szCs w:val="28"/>
          <w:lang w:val="en-US" w:eastAsia="zh-CN"/>
        </w:rPr>
        <w:t>34</w:t>
      </w:r>
      <w:r>
        <w:rPr>
          <w:rFonts w:hint="eastAsia" w:ascii="仿宋_GB2312"/>
          <w:bCs/>
          <w:szCs w:val="28"/>
        </w:rPr>
        <w:t>岗。其中保安人员经费项目中保安人员34岗。</w:t>
      </w:r>
    </w:p>
    <w:p w14:paraId="1F98EB0D">
      <w:pPr>
        <w:spacing w:line="360" w:lineRule="auto"/>
        <w:ind w:firstLine="560"/>
        <w:rPr>
          <w:rFonts w:hint="eastAsia" w:ascii="仿宋_GB2312" w:eastAsia="仿宋_GB2312"/>
          <w:bCs/>
          <w:szCs w:val="28"/>
          <w:lang w:val="en-US" w:eastAsia="zh-CN"/>
        </w:rPr>
      </w:pPr>
      <w:r>
        <w:rPr>
          <w:rFonts w:hint="eastAsia" w:ascii="仿宋_GB2312"/>
          <w:bCs/>
          <w:szCs w:val="28"/>
        </w:rPr>
        <w:t>数量指标“安保培训、演练次数”的目标值是</w:t>
      </w:r>
      <w:r>
        <w:rPr>
          <w:rFonts w:hint="eastAsia" w:ascii="仿宋_GB2312"/>
          <w:bCs/>
          <w:szCs w:val="28"/>
          <w:lang w:val="en-US" w:eastAsia="zh-CN"/>
        </w:rPr>
        <w:t>10</w:t>
      </w:r>
      <w:r>
        <w:rPr>
          <w:rFonts w:hint="eastAsia" w:ascii="仿宋_GB2312"/>
          <w:bCs/>
          <w:szCs w:val="28"/>
          <w:lang w:eastAsia="zh-CN"/>
        </w:rPr>
        <w:t>次</w:t>
      </w:r>
      <w:r>
        <w:rPr>
          <w:rFonts w:hint="eastAsia" w:ascii="仿宋_GB2312"/>
          <w:bCs/>
          <w:szCs w:val="28"/>
        </w:rPr>
        <w:t>，</w:t>
      </w:r>
      <w:r>
        <w:rPr>
          <w:rFonts w:ascii="仿宋_GB2312"/>
          <w:bCs/>
          <w:szCs w:val="28"/>
        </w:rPr>
        <w:t>2023年度我单位</w:t>
      </w:r>
      <w:r>
        <w:rPr>
          <w:rFonts w:hint="eastAsia" w:ascii="仿宋_GB2312"/>
          <w:bCs/>
          <w:szCs w:val="28"/>
          <w:lang w:eastAsia="zh-CN"/>
        </w:rPr>
        <w:t>实际完成</w:t>
      </w:r>
      <w:r>
        <w:rPr>
          <w:rFonts w:hint="eastAsia" w:ascii="仿宋_GB2312"/>
          <w:bCs/>
          <w:szCs w:val="28"/>
          <w:lang w:val="en-US" w:eastAsia="zh-CN"/>
        </w:rPr>
        <w:t>10次安保</w:t>
      </w:r>
      <w:r>
        <w:rPr>
          <w:rFonts w:hint="eastAsia" w:ascii="仿宋_GB2312"/>
          <w:bCs/>
          <w:szCs w:val="28"/>
        </w:rPr>
        <w:t>培训、演练</w:t>
      </w:r>
      <w:r>
        <w:rPr>
          <w:rFonts w:hint="eastAsia" w:ascii="仿宋_GB2312"/>
          <w:bCs/>
          <w:szCs w:val="28"/>
          <w:lang w:eastAsia="zh-CN"/>
        </w:rPr>
        <w:t>。</w:t>
      </w:r>
    </w:p>
    <w:p w14:paraId="49B6525A">
      <w:pPr>
        <w:spacing w:line="360" w:lineRule="auto"/>
        <w:ind w:firstLine="560"/>
        <w:rPr>
          <w:rFonts w:hint="default" w:ascii="仿宋_GB2312" w:eastAsia="仿宋_GB2312"/>
          <w:bCs/>
          <w:szCs w:val="28"/>
          <w:lang w:val="en-US" w:eastAsia="zh-CN"/>
        </w:rPr>
      </w:pPr>
      <w:r>
        <w:rPr>
          <w:rFonts w:hint="eastAsia" w:ascii="仿宋_GB2312"/>
          <w:bCs/>
          <w:szCs w:val="28"/>
        </w:rPr>
        <w:t>数量指标“全年完成工作时间”的目标值是</w:t>
      </w:r>
      <w:r>
        <w:rPr>
          <w:rFonts w:hint="eastAsia" w:ascii="仿宋_GB2312"/>
          <w:bCs/>
          <w:szCs w:val="28"/>
          <w:lang w:val="en-US" w:eastAsia="zh-CN"/>
        </w:rPr>
        <w:t>365天</w:t>
      </w:r>
      <w:r>
        <w:rPr>
          <w:rFonts w:hint="eastAsia" w:ascii="仿宋_GB2312"/>
          <w:bCs/>
          <w:szCs w:val="28"/>
        </w:rPr>
        <w:t>，</w:t>
      </w:r>
      <w:r>
        <w:rPr>
          <w:rFonts w:ascii="仿宋_GB2312"/>
          <w:bCs/>
          <w:szCs w:val="28"/>
        </w:rPr>
        <w:t>2023年度我单位</w:t>
      </w:r>
      <w:r>
        <w:rPr>
          <w:rFonts w:hint="eastAsia" w:ascii="仿宋_GB2312"/>
          <w:bCs/>
          <w:szCs w:val="28"/>
          <w:lang w:eastAsia="zh-CN"/>
        </w:rPr>
        <w:t>实际完成</w:t>
      </w:r>
      <w:r>
        <w:rPr>
          <w:rFonts w:hint="eastAsia" w:ascii="仿宋_GB2312"/>
          <w:bCs/>
          <w:szCs w:val="28"/>
          <w:lang w:val="en-US" w:eastAsia="zh-CN"/>
        </w:rPr>
        <w:t>365天。</w:t>
      </w:r>
    </w:p>
    <w:p w14:paraId="01C50D23">
      <w:pPr>
        <w:spacing w:line="360" w:lineRule="auto"/>
        <w:ind w:firstLine="562"/>
        <w:rPr>
          <w:rFonts w:ascii="仿宋_GB2312"/>
          <w:szCs w:val="28"/>
        </w:rPr>
      </w:pPr>
      <w:r>
        <w:rPr>
          <w:rFonts w:hint="eastAsia" w:ascii="仿宋_GB2312"/>
          <w:b/>
          <w:bCs/>
          <w:szCs w:val="28"/>
        </w:rPr>
        <w:t>实际完成率：</w:t>
      </w:r>
      <w:r>
        <w:rPr>
          <w:rFonts w:hint="eastAsia" w:ascii="仿宋_GB2312"/>
          <w:szCs w:val="28"/>
          <w:lang w:val="en-US" w:eastAsia="zh-CN"/>
        </w:rPr>
        <w:t>100%</w:t>
      </w:r>
      <w:r>
        <w:rPr>
          <w:rFonts w:hint="eastAsia" w:ascii="仿宋_GB2312"/>
          <w:szCs w:val="28"/>
        </w:rPr>
        <w:t>，故实际完成率得分为</w:t>
      </w:r>
      <w:r>
        <w:rPr>
          <w:rFonts w:hint="eastAsia" w:ascii="仿宋_GB2312"/>
          <w:szCs w:val="28"/>
          <w:lang w:val="en-US" w:eastAsia="zh-CN"/>
        </w:rPr>
        <w:t>10</w:t>
      </w:r>
      <w:r>
        <w:rPr>
          <w:rFonts w:hint="eastAsia" w:ascii="仿宋_GB2312"/>
          <w:szCs w:val="28"/>
        </w:rPr>
        <w:t>分。</w:t>
      </w:r>
    </w:p>
    <w:p w14:paraId="665AD59C">
      <w:pPr>
        <w:pStyle w:val="4"/>
        <w:ind w:firstLine="643"/>
      </w:pPr>
      <w:bookmarkStart w:id="46" w:name="_Toc165277250"/>
      <w:r>
        <w:rPr>
          <w:rFonts w:hint="eastAsia"/>
        </w:rPr>
        <w:t>2</w:t>
      </w:r>
      <w:r>
        <w:t>.</w:t>
      </w:r>
      <w:r>
        <w:rPr>
          <w:rFonts w:hint="eastAsia"/>
        </w:rPr>
        <w:t>产出质量</w:t>
      </w:r>
      <w:bookmarkEnd w:id="46"/>
    </w:p>
    <w:p w14:paraId="260F92DC">
      <w:pPr>
        <w:spacing w:line="360" w:lineRule="auto"/>
        <w:ind w:firstLine="562"/>
        <w:rPr>
          <w:rFonts w:ascii="仿宋_GB2312"/>
          <w:szCs w:val="28"/>
        </w:rPr>
      </w:pPr>
      <w:r>
        <w:rPr>
          <w:rFonts w:hint="eastAsia" w:ascii="仿宋_GB2312"/>
          <w:b/>
          <w:bCs/>
          <w:szCs w:val="28"/>
        </w:rPr>
        <w:t>安保人员持证上岗率：</w:t>
      </w:r>
      <w:r>
        <w:rPr>
          <w:rFonts w:hint="eastAsia" w:ascii="仿宋_GB2312"/>
          <w:szCs w:val="28"/>
          <w:lang w:eastAsia="zh-CN"/>
        </w:rPr>
        <w:t>根据合同约定，所有安保人员都持有保安证，</w:t>
      </w:r>
      <w:r>
        <w:rPr>
          <w:rFonts w:hint="eastAsia" w:ascii="仿宋_GB2312"/>
          <w:szCs w:val="28"/>
        </w:rPr>
        <w:t>质量达标率得分为</w:t>
      </w:r>
      <w:r>
        <w:rPr>
          <w:rFonts w:hint="eastAsia" w:ascii="仿宋_GB2312"/>
          <w:szCs w:val="28"/>
          <w:lang w:val="en-US" w:eastAsia="zh-CN"/>
        </w:rPr>
        <w:t>10</w:t>
      </w:r>
      <w:r>
        <w:rPr>
          <w:rFonts w:hint="eastAsia" w:ascii="仿宋_GB2312"/>
          <w:szCs w:val="28"/>
        </w:rPr>
        <w:t>分。</w:t>
      </w:r>
    </w:p>
    <w:p w14:paraId="46617ADB">
      <w:pPr>
        <w:pStyle w:val="4"/>
        <w:ind w:firstLine="643"/>
      </w:pPr>
      <w:bookmarkStart w:id="47" w:name="_Toc165277251"/>
      <w:r>
        <w:rPr>
          <w:rFonts w:hint="eastAsia"/>
        </w:rPr>
        <w:t>3</w:t>
      </w:r>
      <w:r>
        <w:t>.</w:t>
      </w:r>
      <w:r>
        <w:rPr>
          <w:rFonts w:hint="eastAsia"/>
        </w:rPr>
        <w:t>产出时效</w:t>
      </w:r>
      <w:bookmarkEnd w:id="47"/>
    </w:p>
    <w:p w14:paraId="40A776DB">
      <w:pPr>
        <w:spacing w:line="360" w:lineRule="auto"/>
        <w:ind w:firstLine="562"/>
        <w:rPr>
          <w:rFonts w:ascii="仿宋_GB2312"/>
          <w:b/>
          <w:bCs/>
          <w:szCs w:val="28"/>
        </w:rPr>
      </w:pPr>
      <w:r>
        <w:rPr>
          <w:rFonts w:hint="eastAsia" w:ascii="仿宋_GB2312"/>
          <w:b/>
          <w:bCs/>
          <w:szCs w:val="28"/>
          <w:lang w:eastAsia="zh-CN"/>
        </w:rPr>
        <w:t>项目</w:t>
      </w:r>
      <w:r>
        <w:rPr>
          <w:rFonts w:hint="eastAsia" w:ascii="仿宋_GB2312"/>
          <w:b/>
          <w:bCs/>
          <w:szCs w:val="28"/>
        </w:rPr>
        <w:t>完成及时</w:t>
      </w:r>
      <w:r>
        <w:rPr>
          <w:rFonts w:hint="eastAsia" w:ascii="仿宋_GB2312"/>
          <w:b/>
          <w:bCs/>
          <w:szCs w:val="28"/>
          <w:lang w:eastAsia="zh-CN"/>
        </w:rPr>
        <w:t>率</w:t>
      </w:r>
      <w:r>
        <w:rPr>
          <w:rFonts w:hint="eastAsia" w:ascii="仿宋_GB2312"/>
          <w:b/>
          <w:bCs/>
          <w:szCs w:val="28"/>
        </w:rPr>
        <w:t>：</w:t>
      </w:r>
    </w:p>
    <w:p w14:paraId="107407D5">
      <w:pPr>
        <w:spacing w:line="360" w:lineRule="auto"/>
        <w:ind w:firstLine="560"/>
        <w:rPr>
          <w:rFonts w:hint="eastAsia" w:ascii="仿宋_GB2312"/>
          <w:szCs w:val="28"/>
          <w:lang w:eastAsia="zh-CN"/>
        </w:rPr>
      </w:pPr>
      <w:r>
        <w:rPr>
          <w:rFonts w:hint="eastAsia" w:ascii="仿宋_GB2312"/>
          <w:szCs w:val="28"/>
        </w:rPr>
        <w:t>本项目按照合同约定，已在规定的时间（202</w:t>
      </w:r>
      <w:r>
        <w:rPr>
          <w:rFonts w:hint="eastAsia" w:ascii="仿宋_GB2312"/>
          <w:szCs w:val="28"/>
          <w:lang w:val="en-US" w:eastAsia="zh-CN"/>
        </w:rPr>
        <w:t>3</w:t>
      </w:r>
      <w:r>
        <w:rPr>
          <w:rFonts w:hint="eastAsia" w:ascii="仿宋_GB2312"/>
          <w:szCs w:val="28"/>
        </w:rPr>
        <w:t>年1月1日至202</w:t>
      </w:r>
      <w:r>
        <w:rPr>
          <w:rFonts w:hint="eastAsia" w:ascii="仿宋_GB2312"/>
          <w:szCs w:val="28"/>
          <w:lang w:val="en-US" w:eastAsia="zh-CN"/>
        </w:rPr>
        <w:t>3</w:t>
      </w:r>
      <w:r>
        <w:rPr>
          <w:rFonts w:hint="eastAsia" w:ascii="仿宋_GB2312"/>
          <w:szCs w:val="28"/>
        </w:rPr>
        <w:t>年12月31日）</w:t>
      </w:r>
      <w:r>
        <w:rPr>
          <w:rFonts w:hint="eastAsia" w:ascii="仿宋_GB2312"/>
          <w:szCs w:val="28"/>
          <w:lang w:eastAsia="zh-CN"/>
        </w:rPr>
        <w:t>完成，项目资金于2023年共分两笔支付给乌鲁木齐市亚心安疆保安服务有限责任公司，第一笔为2023年10月16日支付51万元；第二笔为2023年12月21日支付50.28万元</w:t>
      </w:r>
    </w:p>
    <w:p w14:paraId="46A79A20">
      <w:pPr>
        <w:spacing w:line="360" w:lineRule="auto"/>
        <w:ind w:firstLine="560"/>
        <w:rPr>
          <w:rFonts w:ascii="仿宋_GB2312"/>
          <w:szCs w:val="28"/>
        </w:rPr>
      </w:pPr>
      <w:r>
        <w:rPr>
          <w:rFonts w:hint="eastAsia" w:ascii="仿宋_GB2312"/>
          <w:szCs w:val="28"/>
        </w:rPr>
        <w:t>故完成及时性得分为</w:t>
      </w:r>
      <w:r>
        <w:rPr>
          <w:rFonts w:hint="eastAsia" w:ascii="仿宋_GB2312"/>
          <w:szCs w:val="28"/>
          <w:lang w:val="en-US" w:eastAsia="zh-CN"/>
        </w:rPr>
        <w:t>10</w:t>
      </w:r>
      <w:r>
        <w:rPr>
          <w:rFonts w:hint="eastAsia" w:ascii="仿宋_GB2312"/>
          <w:szCs w:val="28"/>
        </w:rPr>
        <w:t>分。</w:t>
      </w:r>
    </w:p>
    <w:p w14:paraId="5896B10B">
      <w:pPr>
        <w:pStyle w:val="4"/>
        <w:ind w:firstLine="643"/>
      </w:pPr>
      <w:bookmarkStart w:id="48" w:name="_Toc165277252"/>
      <w:r>
        <w:rPr>
          <w:rFonts w:hint="eastAsia"/>
        </w:rPr>
        <w:t>4</w:t>
      </w:r>
      <w:r>
        <w:t>.</w:t>
      </w:r>
      <w:r>
        <w:rPr>
          <w:rFonts w:hint="eastAsia"/>
        </w:rPr>
        <w:t>产出成本</w:t>
      </w:r>
      <w:bookmarkEnd w:id="48"/>
    </w:p>
    <w:p w14:paraId="6E1CE558">
      <w:pPr>
        <w:spacing w:line="360" w:lineRule="auto"/>
        <w:ind w:firstLine="562"/>
        <w:rPr>
          <w:rFonts w:ascii="仿宋_GB2312"/>
          <w:b/>
          <w:bCs/>
          <w:szCs w:val="28"/>
        </w:rPr>
      </w:pPr>
      <w:r>
        <w:rPr>
          <w:rFonts w:hint="eastAsia" w:ascii="仿宋_GB2312"/>
          <w:b/>
          <w:bCs/>
          <w:szCs w:val="28"/>
        </w:rPr>
        <w:t>项目预算控制率：</w:t>
      </w:r>
      <w:r>
        <w:rPr>
          <w:rFonts w:hint="eastAsia" w:ascii="仿宋_GB2312"/>
          <w:bCs/>
          <w:szCs w:val="28"/>
        </w:rPr>
        <w:t>本项目实际支出</w:t>
      </w:r>
      <w:r>
        <w:rPr>
          <w:rFonts w:hint="eastAsia" w:ascii="仿宋_GB2312"/>
          <w:bCs/>
          <w:szCs w:val="28"/>
          <w:lang w:val="en-US" w:eastAsia="zh-CN"/>
        </w:rPr>
        <w:t>101.28</w:t>
      </w:r>
      <w:r>
        <w:rPr>
          <w:rFonts w:hint="eastAsia" w:ascii="仿宋_GB2312"/>
          <w:bCs/>
          <w:szCs w:val="28"/>
        </w:rPr>
        <w:t>万元，</w:t>
      </w:r>
      <w:r>
        <w:rPr>
          <w:rFonts w:hint="eastAsia" w:ascii="仿宋_GB2312"/>
          <w:lang w:val="en-US" w:eastAsia="zh-CN"/>
        </w:rPr>
        <w:t>节约了0.72万元，被财政收回，</w:t>
      </w:r>
      <w:r>
        <w:rPr>
          <w:rFonts w:hint="eastAsia" w:ascii="仿宋_GB2312"/>
          <w:bCs/>
          <w:szCs w:val="28"/>
        </w:rPr>
        <w:t>无超支情况，项目资金全部完成，得分为</w:t>
      </w:r>
      <w:r>
        <w:rPr>
          <w:rFonts w:hint="eastAsia" w:ascii="仿宋_GB2312"/>
          <w:bCs/>
          <w:szCs w:val="28"/>
          <w:lang w:val="en-US" w:eastAsia="zh-CN"/>
        </w:rPr>
        <w:t>10分</w:t>
      </w:r>
      <w:r>
        <w:rPr>
          <w:rFonts w:ascii="仿宋_GB2312"/>
          <w:bCs/>
          <w:szCs w:val="28"/>
        </w:rPr>
        <w:t>。</w:t>
      </w:r>
    </w:p>
    <w:p w14:paraId="564EBDD3">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综上，该部分指标满分</w:t>
      </w:r>
      <w:r>
        <w:rPr>
          <w:rFonts w:ascii="仿宋_GB2312" w:hAnsi="仿宋" w:cs="宋体"/>
          <w:b/>
          <w:kern w:val="0"/>
          <w:szCs w:val="28"/>
        </w:rPr>
        <w:t>40</w:t>
      </w:r>
      <w:r>
        <w:rPr>
          <w:rFonts w:hint="eastAsia" w:ascii="仿宋_GB2312" w:hAnsi="仿宋" w:cs="宋体"/>
          <w:b/>
          <w:kern w:val="0"/>
          <w:szCs w:val="28"/>
        </w:rPr>
        <w:t>分，得分</w:t>
      </w:r>
      <w:r>
        <w:rPr>
          <w:rFonts w:hint="eastAsia" w:ascii="仿宋_GB2312"/>
          <w:szCs w:val="28"/>
          <w:lang w:val="en-US" w:eastAsia="zh-CN"/>
        </w:rPr>
        <w:t>40</w:t>
      </w:r>
      <w:r>
        <w:rPr>
          <w:rFonts w:hint="eastAsia" w:ascii="仿宋_GB2312" w:hAnsi="仿宋" w:cs="宋体"/>
          <w:b/>
          <w:kern w:val="0"/>
          <w:szCs w:val="28"/>
        </w:rPr>
        <w:t>分。</w:t>
      </w:r>
    </w:p>
    <w:p w14:paraId="69B13358">
      <w:pPr>
        <w:pStyle w:val="3"/>
        <w:ind w:firstLine="643"/>
        <w:rPr>
          <w:rFonts w:ascii="仿宋" w:hAnsi="仿宋" w:eastAsia="仿宋"/>
          <w:lang w:bidi="en-US"/>
        </w:rPr>
      </w:pPr>
      <w:bookmarkStart w:id="49" w:name="_Toc67911615"/>
      <w:bookmarkStart w:id="50" w:name="_Toc165277253"/>
      <w:r>
        <w:rPr>
          <w:rFonts w:hint="eastAsia" w:ascii="仿宋" w:hAnsi="仿宋" w:eastAsia="仿宋"/>
          <w:lang w:bidi="en-US"/>
        </w:rPr>
        <w:t>（四）项目效益情况</w:t>
      </w:r>
      <w:bookmarkEnd w:id="49"/>
      <w:bookmarkEnd w:id="50"/>
    </w:p>
    <w:p w14:paraId="4687E8E4">
      <w:pPr>
        <w:spacing w:line="360" w:lineRule="auto"/>
        <w:ind w:firstLine="560"/>
        <w:rPr>
          <w:rFonts w:ascii="仿宋_GB2312"/>
          <w:szCs w:val="28"/>
        </w:rPr>
      </w:pPr>
      <w:r>
        <w:rPr>
          <w:rFonts w:hint="eastAsia" w:ascii="仿宋_GB2312"/>
          <w:szCs w:val="28"/>
        </w:rPr>
        <w:t>项目效益指标由</w:t>
      </w:r>
      <w:r>
        <w:rPr>
          <w:rFonts w:ascii="仿宋_GB2312"/>
          <w:szCs w:val="28"/>
        </w:rPr>
        <w:t>1</w:t>
      </w:r>
      <w:r>
        <w:rPr>
          <w:rFonts w:hint="eastAsia" w:ascii="仿宋_GB2312"/>
          <w:szCs w:val="28"/>
        </w:rPr>
        <w:t>个二级指标和</w:t>
      </w:r>
      <w:r>
        <w:rPr>
          <w:rFonts w:ascii="仿宋_GB2312"/>
          <w:szCs w:val="28"/>
        </w:rPr>
        <w:t>2</w:t>
      </w:r>
      <w:r>
        <w:rPr>
          <w:rFonts w:hint="eastAsia" w:ascii="仿宋_GB2312"/>
          <w:szCs w:val="28"/>
        </w:rPr>
        <w:t>个三级指标构成，权重为</w:t>
      </w:r>
      <w:r>
        <w:rPr>
          <w:rFonts w:hint="eastAsia" w:ascii="仿宋_GB2312"/>
          <w:szCs w:val="28"/>
          <w:lang w:val="en-US" w:eastAsia="zh-CN"/>
        </w:rPr>
        <w:t>10</w:t>
      </w:r>
      <w:r>
        <w:rPr>
          <w:rFonts w:hint="eastAsia" w:ascii="仿宋_GB2312"/>
          <w:szCs w:val="28"/>
        </w:rPr>
        <w:t>分，实际得分</w:t>
      </w:r>
      <w:r>
        <w:rPr>
          <w:rFonts w:hint="eastAsia" w:ascii="仿宋_GB2312"/>
          <w:szCs w:val="28"/>
          <w:lang w:val="en-US" w:eastAsia="zh-CN"/>
        </w:rPr>
        <w:t>10</w:t>
      </w:r>
      <w:r>
        <w:rPr>
          <w:rFonts w:hint="eastAsia" w:ascii="仿宋_GB2312"/>
          <w:szCs w:val="28"/>
        </w:rPr>
        <w:t>分。</w:t>
      </w:r>
      <w:r>
        <w:rPr>
          <w:rFonts w:ascii="仿宋_GB2312"/>
          <w:szCs w:val="28"/>
        </w:rPr>
        <w:t xml:space="preserve"> </w:t>
      </w:r>
    </w:p>
    <w:p w14:paraId="0E79F2BB">
      <w:pPr>
        <w:pStyle w:val="4"/>
        <w:ind w:firstLine="643"/>
      </w:pPr>
      <w:bookmarkStart w:id="51" w:name="_Toc165277254"/>
      <w:r>
        <w:rPr>
          <w:rFonts w:hint="eastAsia"/>
        </w:rPr>
        <w:t>1</w:t>
      </w:r>
      <w:r>
        <w:t>.</w:t>
      </w:r>
      <w:r>
        <w:rPr>
          <w:rFonts w:hint="eastAsia"/>
        </w:rPr>
        <w:t>项目效益</w:t>
      </w:r>
      <w:bookmarkEnd w:id="51"/>
    </w:p>
    <w:p w14:paraId="152C4A93">
      <w:pPr>
        <w:spacing w:line="360" w:lineRule="auto"/>
        <w:ind w:firstLine="562"/>
        <w:rPr>
          <w:rFonts w:ascii="仿宋_GB2312"/>
          <w:b/>
          <w:bCs/>
          <w:szCs w:val="28"/>
        </w:rPr>
      </w:pPr>
      <w:r>
        <w:rPr>
          <w:rFonts w:hint="eastAsia" w:ascii="仿宋_GB2312"/>
          <w:b/>
          <w:bCs/>
          <w:szCs w:val="28"/>
        </w:rPr>
        <w:t>（1）实施效益</w:t>
      </w:r>
    </w:p>
    <w:p w14:paraId="622E1F09">
      <w:pPr>
        <w:spacing w:line="360" w:lineRule="auto"/>
        <w:ind w:firstLine="562"/>
        <w:rPr>
          <w:rFonts w:ascii="仿宋_GB2312"/>
          <w:szCs w:val="28"/>
        </w:rPr>
      </w:pPr>
      <w:r>
        <w:rPr>
          <w:rFonts w:hint="eastAsia" w:ascii="仿宋_GB2312"/>
          <w:b/>
          <w:bCs/>
          <w:szCs w:val="28"/>
        </w:rPr>
        <w:t>经济效益指标：</w:t>
      </w:r>
      <w:r>
        <w:rPr>
          <w:rFonts w:hint="eastAsia" w:ascii="仿宋_GB2312"/>
          <w:szCs w:val="28"/>
        </w:rPr>
        <w:t>不适用。</w:t>
      </w:r>
      <w:r>
        <w:rPr>
          <w:rFonts w:ascii="仿宋_GB2312"/>
          <w:szCs w:val="28"/>
        </w:rPr>
        <w:t xml:space="preserve"> </w:t>
      </w:r>
    </w:p>
    <w:p w14:paraId="2634D945">
      <w:pPr>
        <w:spacing w:line="360" w:lineRule="auto"/>
        <w:ind w:firstLine="562"/>
        <w:rPr>
          <w:rFonts w:hint="eastAsia" w:ascii="仿宋_GB2312"/>
          <w:szCs w:val="28"/>
          <w:highlight w:val="none"/>
        </w:rPr>
      </w:pPr>
      <w:r>
        <w:rPr>
          <w:rFonts w:hint="eastAsia" w:ascii="仿宋_GB2312"/>
          <w:b/>
          <w:bCs/>
          <w:szCs w:val="28"/>
          <w:highlight w:val="none"/>
        </w:rPr>
        <w:t>社会效益指标</w:t>
      </w:r>
      <w:r>
        <w:rPr>
          <w:rFonts w:hint="eastAsia" w:ascii="仿宋_GB2312"/>
          <w:szCs w:val="28"/>
          <w:highlight w:val="none"/>
        </w:rPr>
        <w:t>：评价指标“</w:t>
      </w:r>
      <w:r>
        <w:rPr>
          <w:rFonts w:hint="eastAsia" w:ascii="仿宋_GB2312"/>
          <w:szCs w:val="28"/>
          <w:highlight w:val="none"/>
          <w:lang w:eastAsia="zh-CN"/>
        </w:rPr>
        <w:t>保障场馆正常运转</w:t>
      </w:r>
      <w:r>
        <w:rPr>
          <w:rFonts w:hint="eastAsia" w:ascii="仿宋_GB2312"/>
          <w:szCs w:val="28"/>
          <w:highlight w:val="none"/>
        </w:rPr>
        <w:t>”，指标值：</w:t>
      </w:r>
      <w:r>
        <w:rPr>
          <w:rFonts w:hint="eastAsia" w:ascii="仿宋_GB2312"/>
          <w:szCs w:val="28"/>
          <w:highlight w:val="none"/>
          <w:lang w:eastAsia="zh-CN"/>
        </w:rPr>
        <w:t>有效保障</w:t>
      </w:r>
      <w:r>
        <w:rPr>
          <w:rFonts w:hint="eastAsia" w:ascii="仿宋_GB2312"/>
          <w:szCs w:val="28"/>
          <w:highlight w:val="none"/>
        </w:rPr>
        <w:t>，实际完成值：达成年度指标。</w:t>
      </w:r>
    </w:p>
    <w:p w14:paraId="2E53C765">
      <w:pPr>
        <w:spacing w:line="360" w:lineRule="auto"/>
        <w:ind w:firstLine="562"/>
        <w:rPr>
          <w:rFonts w:hint="eastAsia" w:ascii="仿宋_GB2312"/>
          <w:szCs w:val="28"/>
          <w:highlight w:val="none"/>
        </w:rPr>
      </w:pPr>
      <w:r>
        <w:rPr>
          <w:rFonts w:hint="eastAsia" w:ascii="仿宋_GB2312"/>
          <w:szCs w:val="28"/>
          <w:highlight w:val="none"/>
        </w:rPr>
        <w:t>评价指标“</w:t>
      </w:r>
      <w:r>
        <w:rPr>
          <w:rFonts w:hint="eastAsia" w:ascii="仿宋_GB2312"/>
          <w:szCs w:val="28"/>
          <w:highlight w:val="none"/>
          <w:lang w:eastAsia="zh-CN"/>
        </w:rPr>
        <w:t>加强社会稳定</w:t>
      </w:r>
      <w:r>
        <w:rPr>
          <w:rFonts w:hint="eastAsia" w:ascii="仿宋_GB2312"/>
          <w:szCs w:val="28"/>
          <w:highlight w:val="none"/>
        </w:rPr>
        <w:t>”，指标值：</w:t>
      </w:r>
      <w:r>
        <w:rPr>
          <w:rFonts w:hint="eastAsia" w:ascii="仿宋_GB2312"/>
          <w:szCs w:val="28"/>
          <w:highlight w:val="none"/>
          <w:lang w:eastAsia="zh-CN"/>
        </w:rPr>
        <w:t>有效加强</w:t>
      </w:r>
      <w:r>
        <w:rPr>
          <w:rFonts w:hint="eastAsia" w:ascii="仿宋_GB2312"/>
          <w:szCs w:val="28"/>
          <w:highlight w:val="none"/>
        </w:rPr>
        <w:t>，实际完成值：达成年度指标。</w:t>
      </w:r>
    </w:p>
    <w:p w14:paraId="76F94D58">
      <w:pPr>
        <w:spacing w:line="360" w:lineRule="auto"/>
        <w:ind w:firstLine="562"/>
        <w:rPr>
          <w:rFonts w:hint="eastAsia" w:ascii="仿宋_GB2312"/>
          <w:szCs w:val="28"/>
          <w:highlight w:val="none"/>
          <w:lang w:eastAsia="zh-CN"/>
        </w:rPr>
      </w:pPr>
      <w:r>
        <w:rPr>
          <w:rFonts w:hint="eastAsia" w:ascii="仿宋_GB2312"/>
          <w:szCs w:val="28"/>
          <w:highlight w:val="none"/>
        </w:rPr>
        <w:t>本项目的实施加强</w:t>
      </w:r>
      <w:r>
        <w:rPr>
          <w:rFonts w:hint="eastAsia" w:ascii="仿宋_GB2312"/>
          <w:szCs w:val="28"/>
          <w:highlight w:val="none"/>
          <w:lang w:eastAsia="zh-CN"/>
        </w:rPr>
        <w:t>了</w:t>
      </w:r>
      <w:r>
        <w:rPr>
          <w:rFonts w:hint="eastAsia" w:ascii="仿宋_GB2312"/>
          <w:szCs w:val="28"/>
          <w:highlight w:val="none"/>
        </w:rPr>
        <w:t>各场馆安保力量配备，对各场馆在人防、技防、物防方面给予了强有力的支撑</w:t>
      </w:r>
      <w:r>
        <w:rPr>
          <w:rFonts w:hint="eastAsia" w:ascii="仿宋_GB2312"/>
          <w:szCs w:val="28"/>
          <w:highlight w:val="none"/>
          <w:lang w:eastAsia="zh-CN"/>
        </w:rPr>
        <w:t>，</w:t>
      </w:r>
      <w:r>
        <w:rPr>
          <w:rFonts w:hint="eastAsia" w:ascii="仿宋_GB2312"/>
          <w:szCs w:val="28"/>
          <w:highlight w:val="none"/>
        </w:rPr>
        <w:t>保持一个稳定的安保队伍，建立</w:t>
      </w:r>
      <w:r>
        <w:rPr>
          <w:rFonts w:hint="eastAsia" w:ascii="仿宋_GB2312"/>
          <w:szCs w:val="28"/>
          <w:highlight w:val="none"/>
          <w:lang w:eastAsia="zh-CN"/>
        </w:rPr>
        <w:t>了</w:t>
      </w:r>
      <w:r>
        <w:rPr>
          <w:rFonts w:hint="eastAsia" w:ascii="仿宋_GB2312"/>
          <w:szCs w:val="28"/>
          <w:highlight w:val="none"/>
        </w:rPr>
        <w:t>一个快速反应的安保机制</w:t>
      </w:r>
      <w:r>
        <w:rPr>
          <w:rFonts w:hint="eastAsia" w:ascii="仿宋_GB2312"/>
          <w:szCs w:val="28"/>
          <w:highlight w:val="none"/>
          <w:lang w:eastAsia="zh-CN"/>
        </w:rPr>
        <w:t>，保障了场馆的正常运转，全年无事故发生，加强了社会稳定。</w:t>
      </w:r>
    </w:p>
    <w:p w14:paraId="21578448">
      <w:pPr>
        <w:spacing w:line="360" w:lineRule="auto"/>
        <w:ind w:firstLine="562"/>
        <w:rPr>
          <w:rFonts w:ascii="仿宋_GB2312"/>
          <w:szCs w:val="28"/>
        </w:rPr>
      </w:pPr>
      <w:r>
        <w:rPr>
          <w:rFonts w:hint="eastAsia" w:ascii="仿宋_GB2312"/>
          <w:b/>
          <w:bCs/>
          <w:szCs w:val="28"/>
        </w:rPr>
        <w:t>生态效益指标</w:t>
      </w:r>
      <w:r>
        <w:rPr>
          <w:rFonts w:hint="eastAsia" w:ascii="仿宋_GB2312"/>
          <w:szCs w:val="28"/>
        </w:rPr>
        <w:t>：不适用。</w:t>
      </w:r>
    </w:p>
    <w:p w14:paraId="6E4C2381">
      <w:pPr>
        <w:autoSpaceDE w:val="0"/>
        <w:spacing w:line="600" w:lineRule="exact"/>
        <w:ind w:firstLine="562"/>
        <w:rPr>
          <w:rFonts w:hint="eastAsia" w:ascii="仿宋_GB2312" w:hAnsi="仿宋" w:cs="宋体"/>
          <w:b/>
          <w:kern w:val="0"/>
          <w:szCs w:val="28"/>
        </w:rPr>
      </w:pPr>
      <w:r>
        <w:rPr>
          <w:rFonts w:hint="eastAsia" w:ascii="仿宋_GB2312" w:hAnsi="仿宋" w:cs="宋体"/>
          <w:b/>
          <w:kern w:val="0"/>
          <w:szCs w:val="28"/>
        </w:rPr>
        <w:t>综上，该指标满分</w:t>
      </w:r>
      <w:r>
        <w:rPr>
          <w:rFonts w:hint="eastAsia" w:ascii="仿宋_GB2312" w:hAnsi="仿宋" w:cs="宋体"/>
          <w:b/>
          <w:kern w:val="0"/>
          <w:szCs w:val="28"/>
          <w:lang w:val="en-US" w:eastAsia="zh-CN"/>
        </w:rPr>
        <w:t>10</w:t>
      </w:r>
      <w:r>
        <w:rPr>
          <w:rFonts w:hint="eastAsia" w:ascii="仿宋_GB2312" w:hAnsi="仿宋" w:cs="宋体"/>
          <w:b/>
          <w:kern w:val="0"/>
          <w:szCs w:val="28"/>
        </w:rPr>
        <w:t>分，得分</w:t>
      </w:r>
      <w:r>
        <w:rPr>
          <w:rFonts w:hint="eastAsia" w:ascii="仿宋_GB2312" w:hAnsi="仿宋" w:cs="宋体"/>
          <w:b/>
          <w:kern w:val="0"/>
          <w:szCs w:val="28"/>
          <w:lang w:val="en-US" w:eastAsia="zh-CN"/>
        </w:rPr>
        <w:t>10</w:t>
      </w:r>
      <w:r>
        <w:rPr>
          <w:rFonts w:hint="eastAsia" w:ascii="仿宋_GB2312" w:hAnsi="仿宋" w:cs="宋体"/>
          <w:b/>
          <w:kern w:val="0"/>
          <w:szCs w:val="28"/>
        </w:rPr>
        <w:t>分。</w:t>
      </w:r>
    </w:p>
    <w:p w14:paraId="02B9CC1D">
      <w:pPr>
        <w:pStyle w:val="4"/>
        <w:ind w:firstLine="643"/>
      </w:pPr>
      <w:bookmarkStart w:id="52" w:name="_Toc165277255"/>
      <w:r>
        <w:t>2. 满意度指标完成情况分析</w:t>
      </w:r>
      <w:bookmarkEnd w:id="52"/>
    </w:p>
    <w:p w14:paraId="2E906146">
      <w:pPr>
        <w:spacing w:line="360" w:lineRule="auto"/>
        <w:ind w:firstLine="562"/>
        <w:rPr>
          <w:rFonts w:ascii="仿宋_GB2312"/>
          <w:b/>
          <w:bCs/>
          <w:szCs w:val="28"/>
        </w:rPr>
      </w:pPr>
      <w:r>
        <w:rPr>
          <w:rFonts w:hint="eastAsia" w:ascii="仿宋_GB2312"/>
          <w:b/>
          <w:bCs/>
          <w:szCs w:val="28"/>
        </w:rPr>
        <w:t>（</w:t>
      </w:r>
      <w:r>
        <w:rPr>
          <w:rFonts w:ascii="仿宋_GB2312"/>
          <w:b/>
          <w:bCs/>
          <w:szCs w:val="28"/>
        </w:rPr>
        <w:t>1</w:t>
      </w:r>
      <w:r>
        <w:rPr>
          <w:rFonts w:hint="eastAsia" w:ascii="仿宋_GB2312"/>
          <w:b/>
          <w:bCs/>
          <w:szCs w:val="28"/>
        </w:rPr>
        <w:t>）满意度指标</w:t>
      </w:r>
    </w:p>
    <w:p w14:paraId="68679DF4">
      <w:pPr>
        <w:spacing w:line="360" w:lineRule="auto"/>
        <w:ind w:firstLine="562"/>
        <w:rPr>
          <w:rFonts w:ascii="仿宋_GB2312"/>
          <w:szCs w:val="28"/>
        </w:rPr>
      </w:pPr>
      <w:r>
        <w:rPr>
          <w:rFonts w:hint="eastAsia" w:ascii="仿宋_GB2312"/>
          <w:b/>
          <w:bCs/>
          <w:szCs w:val="28"/>
        </w:rPr>
        <w:t>群众满意度：</w:t>
      </w:r>
      <w:r>
        <w:rPr>
          <w:rFonts w:hint="eastAsia" w:ascii="仿宋_GB2312"/>
          <w:szCs w:val="28"/>
        </w:rPr>
        <w:t>评价指标“</w:t>
      </w:r>
      <w:r>
        <w:rPr>
          <w:rFonts w:hint="eastAsia" w:ascii="仿宋_GB2312"/>
          <w:szCs w:val="28"/>
          <w:lang w:eastAsia="zh-CN"/>
        </w:rPr>
        <w:t>群众满意度</w:t>
      </w:r>
      <w:r>
        <w:rPr>
          <w:rFonts w:hint="eastAsia" w:ascii="仿宋_GB2312"/>
          <w:szCs w:val="28"/>
        </w:rPr>
        <w:t>”，指标值：</w:t>
      </w:r>
      <w:r>
        <w:rPr>
          <w:rFonts w:hint="eastAsia" w:ascii="华文宋体" w:hAnsi="华文宋体" w:eastAsia="华文宋体"/>
          <w:szCs w:val="28"/>
        </w:rPr>
        <w:t>≥</w:t>
      </w:r>
      <w:r>
        <w:rPr>
          <w:rFonts w:hint="eastAsia" w:ascii="仿宋_GB2312" w:eastAsia="华文宋体"/>
          <w:szCs w:val="28"/>
          <w:lang w:val="en-US" w:eastAsia="zh-CN"/>
        </w:rPr>
        <w:t>90</w:t>
      </w:r>
      <w:r>
        <w:rPr>
          <w:rFonts w:hint="eastAsia" w:ascii="仿宋_GB2312"/>
          <w:szCs w:val="28"/>
        </w:rPr>
        <w:t>%，实际完成值：</w:t>
      </w:r>
      <w:r>
        <w:rPr>
          <w:rFonts w:hint="eastAsia" w:ascii="华文宋体" w:hAnsi="华文宋体" w:eastAsia="华文宋体"/>
          <w:szCs w:val="28"/>
        </w:rPr>
        <w:t>≥</w:t>
      </w:r>
      <w:r>
        <w:rPr>
          <w:rFonts w:hint="eastAsia" w:ascii="仿宋_GB2312" w:eastAsia="华文宋体"/>
          <w:szCs w:val="28"/>
          <w:lang w:val="en-US" w:eastAsia="zh-CN"/>
        </w:rPr>
        <w:t>90</w:t>
      </w:r>
      <w:r>
        <w:rPr>
          <w:rFonts w:hint="eastAsia" w:ascii="仿宋_GB2312"/>
          <w:szCs w:val="28"/>
        </w:rPr>
        <w:t>%。通过设置问卷调查的方式进行考评评价，共计调查样本总量为</w:t>
      </w:r>
      <w:r>
        <w:rPr>
          <w:rFonts w:hint="eastAsia" w:ascii="仿宋_GB2312"/>
          <w:szCs w:val="28"/>
          <w:lang w:val="en-US" w:eastAsia="zh-CN"/>
        </w:rPr>
        <w:t>1403</w:t>
      </w:r>
      <w:r>
        <w:rPr>
          <w:rFonts w:hint="eastAsia" w:ascii="仿宋_GB2312"/>
          <w:szCs w:val="28"/>
        </w:rPr>
        <w:t>个样本，有效调查问卷</w:t>
      </w:r>
      <w:r>
        <w:rPr>
          <w:rFonts w:hint="eastAsia" w:ascii="仿宋_GB2312"/>
          <w:szCs w:val="28"/>
          <w:lang w:val="en-US" w:eastAsia="zh-CN"/>
        </w:rPr>
        <w:t>1403</w:t>
      </w:r>
      <w:r>
        <w:rPr>
          <w:rFonts w:hint="eastAsia" w:ascii="仿宋_GB2312"/>
          <w:szCs w:val="28"/>
        </w:rPr>
        <w:t>份。其中，统计“</w:t>
      </w:r>
      <w:r>
        <w:rPr>
          <w:rFonts w:hint="eastAsia" w:ascii="仿宋_GB2312"/>
          <w:szCs w:val="28"/>
          <w:lang w:eastAsia="zh-CN"/>
        </w:rPr>
        <w:t>群众满意度</w:t>
      </w:r>
      <w:r>
        <w:rPr>
          <w:rFonts w:hint="eastAsia" w:ascii="仿宋_GB2312"/>
          <w:szCs w:val="28"/>
        </w:rPr>
        <w:t>”的平均值为</w:t>
      </w:r>
      <w:r>
        <w:rPr>
          <w:rFonts w:hint="eastAsia" w:ascii="仿宋_GB2312"/>
          <w:szCs w:val="28"/>
          <w:lang w:val="en-US" w:eastAsia="zh-CN"/>
        </w:rPr>
        <w:t>97.77</w:t>
      </w:r>
      <w:r>
        <w:rPr>
          <w:rFonts w:hint="eastAsia" w:ascii="仿宋_GB2312"/>
          <w:szCs w:val="28"/>
        </w:rPr>
        <w:t>%。故满意度指标得分为</w:t>
      </w:r>
      <w:r>
        <w:rPr>
          <w:rFonts w:hint="eastAsia" w:ascii="仿宋_GB2312"/>
          <w:szCs w:val="28"/>
          <w:lang w:val="en-US" w:eastAsia="zh-CN"/>
        </w:rPr>
        <w:t>10</w:t>
      </w:r>
      <w:r>
        <w:rPr>
          <w:rFonts w:hint="eastAsia" w:ascii="仿宋_GB2312"/>
          <w:szCs w:val="28"/>
        </w:rPr>
        <w:t>分。</w:t>
      </w:r>
    </w:p>
    <w:p w14:paraId="79783E56">
      <w:pPr>
        <w:autoSpaceDE w:val="0"/>
        <w:spacing w:line="600" w:lineRule="exact"/>
        <w:ind w:firstLine="562"/>
        <w:rPr>
          <w:rFonts w:ascii="仿宋_GB2312" w:hAnsi="仿宋" w:cs="宋体"/>
          <w:b/>
          <w:kern w:val="0"/>
          <w:szCs w:val="28"/>
        </w:rPr>
      </w:pPr>
      <w:r>
        <w:rPr>
          <w:rFonts w:hint="eastAsia" w:ascii="仿宋_GB2312" w:hAnsi="仿宋" w:cs="宋体"/>
          <w:b/>
          <w:kern w:val="0"/>
          <w:szCs w:val="28"/>
        </w:rPr>
        <w:t>综上，该指标满分</w:t>
      </w:r>
      <w:r>
        <w:rPr>
          <w:rFonts w:ascii="仿宋_GB2312" w:hAnsi="仿宋" w:cs="宋体"/>
          <w:b/>
          <w:kern w:val="0"/>
          <w:szCs w:val="28"/>
        </w:rPr>
        <w:t>10</w:t>
      </w:r>
      <w:r>
        <w:rPr>
          <w:rFonts w:hint="eastAsia" w:ascii="仿宋_GB2312" w:hAnsi="仿宋" w:cs="宋体"/>
          <w:b/>
          <w:kern w:val="0"/>
          <w:szCs w:val="28"/>
        </w:rPr>
        <w:t>分，得分</w:t>
      </w:r>
      <w:r>
        <w:rPr>
          <w:rFonts w:hint="eastAsia" w:ascii="仿宋_GB2312" w:hAnsi="仿宋" w:cs="宋体"/>
          <w:b/>
          <w:kern w:val="0"/>
          <w:szCs w:val="28"/>
          <w:lang w:val="en-US" w:eastAsia="zh-CN"/>
        </w:rPr>
        <w:t>10</w:t>
      </w:r>
      <w:r>
        <w:rPr>
          <w:rFonts w:hint="eastAsia" w:ascii="仿宋_GB2312" w:hAnsi="仿宋" w:cs="宋体"/>
          <w:b/>
          <w:kern w:val="0"/>
          <w:szCs w:val="28"/>
        </w:rPr>
        <w:t>分。</w:t>
      </w:r>
    </w:p>
    <w:p w14:paraId="1044FF40">
      <w:pPr>
        <w:autoSpaceDE w:val="0"/>
        <w:spacing w:line="600" w:lineRule="exact"/>
        <w:ind w:firstLine="562"/>
        <w:rPr>
          <w:rFonts w:hint="eastAsia" w:ascii="仿宋_GB2312" w:hAnsi="仿宋" w:cs="宋体"/>
          <w:b/>
          <w:kern w:val="0"/>
          <w:szCs w:val="28"/>
        </w:rPr>
      </w:pPr>
    </w:p>
    <w:p w14:paraId="4A29970E">
      <w:pPr>
        <w:pStyle w:val="2"/>
        <w:ind w:firstLine="0" w:firstLineChars="0"/>
        <w:jc w:val="left"/>
        <w:rPr>
          <w:rFonts w:ascii="仿宋" w:hAnsi="仿宋" w:eastAsia="仿宋"/>
          <w:sz w:val="36"/>
          <w:szCs w:val="36"/>
          <w:lang w:bidi="en-US"/>
        </w:rPr>
      </w:pPr>
      <w:bookmarkStart w:id="53" w:name="_Toc165277256"/>
      <w:bookmarkStart w:id="54" w:name="_Toc67911617"/>
      <w:r>
        <w:rPr>
          <w:rFonts w:hint="eastAsia" w:ascii="仿宋" w:hAnsi="仿宋" w:eastAsia="仿宋"/>
          <w:sz w:val="36"/>
          <w:szCs w:val="36"/>
          <w:lang w:bidi="en-US"/>
        </w:rPr>
        <w:t>五、主要经验及做法、存在的问题及原因分析</w:t>
      </w:r>
      <w:bookmarkEnd w:id="53"/>
      <w:bookmarkEnd w:id="54"/>
    </w:p>
    <w:p w14:paraId="1605873A">
      <w:pPr>
        <w:pStyle w:val="3"/>
        <w:ind w:firstLine="643"/>
        <w:rPr>
          <w:rFonts w:ascii="仿宋" w:hAnsi="仿宋" w:eastAsia="仿宋"/>
          <w:lang w:bidi="en-US"/>
        </w:rPr>
      </w:pPr>
      <w:bookmarkStart w:id="55" w:name="_Toc67911618"/>
      <w:bookmarkStart w:id="56" w:name="_Toc165277257"/>
      <w:r>
        <w:rPr>
          <w:rFonts w:hint="eastAsia" w:ascii="仿宋" w:hAnsi="仿宋" w:eastAsia="仿宋"/>
          <w:lang w:bidi="en-US"/>
        </w:rPr>
        <w:t>（一）主要经验及做法</w:t>
      </w:r>
      <w:bookmarkEnd w:id="55"/>
      <w:bookmarkEnd w:id="56"/>
    </w:p>
    <w:p w14:paraId="1A7063DD">
      <w:pPr>
        <w:autoSpaceDE w:val="0"/>
        <w:spacing w:line="600" w:lineRule="exact"/>
        <w:ind w:firstLine="562"/>
        <w:rPr>
          <w:rFonts w:ascii="仿宋_GB2312" w:hAnsi="仿宋" w:cs="宋体"/>
          <w:b/>
          <w:kern w:val="0"/>
          <w:szCs w:val="28"/>
        </w:rPr>
      </w:pPr>
      <w:r>
        <w:rPr>
          <w:rFonts w:hint="eastAsia" w:ascii="仿宋_GB2312" w:hAnsi="仿宋" w:cs="宋体"/>
          <w:b/>
          <w:kern w:val="0"/>
          <w:szCs w:val="28"/>
        </w:rPr>
        <w:t>1.落实主体责任</w:t>
      </w:r>
    </w:p>
    <w:p w14:paraId="5213F698">
      <w:pPr>
        <w:autoSpaceDE w:val="0"/>
        <w:spacing w:line="600" w:lineRule="exact"/>
        <w:ind w:firstLine="560"/>
        <w:rPr>
          <w:rFonts w:hint="eastAsia" w:ascii="仿宋_GB2312" w:hAnsi="仿宋" w:cs="宋体"/>
          <w:kern w:val="0"/>
          <w:szCs w:val="28"/>
        </w:rPr>
      </w:pPr>
      <w:r>
        <w:rPr>
          <w:rFonts w:hint="eastAsia" w:ascii="仿宋_GB2312" w:hAnsi="仿宋" w:cs="宋体"/>
          <w:kern w:val="0"/>
          <w:szCs w:val="28"/>
        </w:rPr>
        <w:t>明确预算单位各部门是绩效运行监控的主体，定期对绩效监控信息进行收集、汇总、分析等。加强预算制定过程的科学性管理，提升预算方案的质量。首先在预算</w:t>
      </w:r>
      <w:r>
        <w:rPr>
          <w:rFonts w:hint="eastAsia" w:ascii="仿宋_GB2312" w:hAnsi="仿宋" w:cs="宋体"/>
          <w:kern w:val="0"/>
          <w:szCs w:val="28"/>
          <w:lang w:eastAsia="zh-CN"/>
        </w:rPr>
        <w:t>管理</w:t>
      </w:r>
      <w:r>
        <w:rPr>
          <w:rFonts w:hint="eastAsia" w:ascii="仿宋_GB2312" w:hAnsi="仿宋" w:cs="宋体"/>
          <w:kern w:val="0"/>
          <w:szCs w:val="28"/>
        </w:rPr>
        <w:t>上，加强预算编制的合理性及会计核算的规范性。其次依据项目进展或单位工作实际情况，及时对预算安排进行必要调整。</w:t>
      </w:r>
    </w:p>
    <w:p w14:paraId="2977425B">
      <w:pPr>
        <w:autoSpaceDE w:val="0"/>
        <w:spacing w:line="600" w:lineRule="exact"/>
        <w:ind w:firstLine="560"/>
        <w:rPr>
          <w:rFonts w:hint="eastAsia" w:ascii="仿宋_GB2312" w:hAnsi="仿宋" w:cs="宋体"/>
          <w:b/>
          <w:kern w:val="0"/>
          <w:szCs w:val="28"/>
        </w:rPr>
      </w:pPr>
      <w:r>
        <w:rPr>
          <w:rFonts w:hint="eastAsia" w:ascii="仿宋_GB2312" w:hAnsi="仿宋" w:cs="宋体"/>
          <w:b/>
          <w:kern w:val="0"/>
          <w:szCs w:val="28"/>
        </w:rPr>
        <w:t>2.加强学习培训</w:t>
      </w:r>
    </w:p>
    <w:p w14:paraId="5D95C275">
      <w:pPr>
        <w:autoSpaceDE w:val="0"/>
        <w:spacing w:line="600" w:lineRule="exact"/>
        <w:ind w:firstLine="560"/>
        <w:rPr>
          <w:rFonts w:hint="eastAsia" w:ascii="仿宋_GB2312" w:hAnsi="仿宋" w:cs="宋体"/>
          <w:kern w:val="0"/>
          <w:szCs w:val="28"/>
        </w:rPr>
      </w:pPr>
      <w:r>
        <w:rPr>
          <w:rFonts w:hint="eastAsia" w:ascii="仿宋_GB2312" w:hAnsi="仿宋" w:cs="宋体"/>
          <w:kern w:val="0"/>
          <w:szCs w:val="28"/>
        </w:rPr>
        <w:t>提升业务能力。对单位相关人员通过业务培训考察交流和实地调研等方式开展工作，在实际工作中积累经验，加强理论研究。重视对项目和资金的过程化管理，加强对项目的延伸性监管，建立健全项日督管理制度，落实各级项目监督管理责任。一方面，主管部门应加强对项目实施过程的监管意识，建立重点项目实施过程的绩效反馈机制。另一方面，资金使用单位应加强对项目实施的风险管控意识，加强对项目实施的过程控制。</w:t>
      </w:r>
    </w:p>
    <w:p w14:paraId="2ED9D69C">
      <w:pPr>
        <w:pStyle w:val="3"/>
        <w:ind w:firstLine="643"/>
        <w:rPr>
          <w:rFonts w:ascii="仿宋" w:hAnsi="仿宋" w:eastAsia="仿宋"/>
          <w:lang w:bidi="en-US"/>
        </w:rPr>
      </w:pPr>
      <w:bookmarkStart w:id="57" w:name="_Toc165277258"/>
      <w:r>
        <w:rPr>
          <w:rFonts w:hint="eastAsia" w:ascii="仿宋" w:hAnsi="仿宋" w:eastAsia="仿宋"/>
          <w:lang w:bidi="en-US"/>
        </w:rPr>
        <w:t>（二）存在的问题及原因分析</w:t>
      </w:r>
      <w:bookmarkEnd w:id="57"/>
    </w:p>
    <w:p w14:paraId="43F7A0D6">
      <w:pPr>
        <w:spacing w:line="360" w:lineRule="auto"/>
        <w:ind w:firstLine="560"/>
        <w:rPr>
          <w:rFonts w:hint="eastAsia" w:ascii="仿宋_GB2312" w:hAnsi="仿宋" w:cs="宋体"/>
          <w:kern w:val="0"/>
          <w:szCs w:val="28"/>
        </w:rPr>
      </w:pPr>
      <w:r>
        <w:rPr>
          <w:rFonts w:hint="eastAsia" w:ascii="仿宋_GB2312" w:hAnsi="仿宋" w:cs="宋体"/>
          <w:kern w:val="0"/>
          <w:szCs w:val="28"/>
        </w:rPr>
        <w:t>1</w:t>
      </w:r>
      <w:r>
        <w:rPr>
          <w:rFonts w:ascii="仿宋_GB2312" w:hAnsi="仿宋" w:cs="宋体"/>
          <w:kern w:val="0"/>
          <w:szCs w:val="28"/>
        </w:rPr>
        <w:t>.</w:t>
      </w:r>
      <w:r>
        <w:rPr>
          <w:rFonts w:hint="eastAsia" w:ascii="仿宋_GB2312" w:hAnsi="仿宋" w:cs="宋体"/>
          <w:kern w:val="0"/>
          <w:szCs w:val="28"/>
          <w:lang w:eastAsia="zh-CN"/>
        </w:rPr>
        <w:t>项目执行过程中</w:t>
      </w:r>
      <w:r>
        <w:rPr>
          <w:rFonts w:hint="eastAsia" w:ascii="仿宋_GB2312" w:hAnsi="仿宋" w:cs="宋体"/>
          <w:kern w:val="0"/>
          <w:szCs w:val="28"/>
        </w:rPr>
        <w:t>我馆专业技术人才不足，急需高级专门人才和骨干人才，特别是具备博物馆场馆管理、服务专业知识与技能的人才匮乏，一定程度上也影响了公共服务能力的提升。</w:t>
      </w:r>
    </w:p>
    <w:p w14:paraId="6F898E12">
      <w:pPr>
        <w:spacing w:line="360" w:lineRule="auto"/>
        <w:ind w:firstLine="560"/>
        <w:rPr>
          <w:rFonts w:ascii="仿宋_GB2312" w:hAnsi="仿宋" w:cs="宋体"/>
          <w:kern w:val="0"/>
          <w:szCs w:val="28"/>
        </w:rPr>
      </w:pPr>
      <w:r>
        <w:rPr>
          <w:rFonts w:hint="eastAsia" w:ascii="仿宋_GB2312" w:hAnsi="仿宋" w:cs="宋体"/>
          <w:kern w:val="0"/>
          <w:szCs w:val="28"/>
          <w:lang w:val="en-US" w:eastAsia="zh-CN"/>
        </w:rPr>
        <w:t>2</w:t>
      </w:r>
      <w:r>
        <w:rPr>
          <w:rFonts w:hint="eastAsia" w:ascii="仿宋_GB2312" w:hAnsi="仿宋" w:cs="宋体"/>
          <w:kern w:val="0"/>
          <w:szCs w:val="28"/>
        </w:rPr>
        <w:t>.对绩效评价工作认识不够。通过绩效评价工作逐步推进，各部门逐步树立了绩效理念，对预算绩效评价工作的态度由“被动接受”变为“主动实施”，但了解还不够深入，对单位绩效不重视。</w:t>
      </w:r>
    </w:p>
    <w:p w14:paraId="1EEEE9A8">
      <w:pPr>
        <w:pStyle w:val="2"/>
        <w:ind w:firstLine="0" w:firstLineChars="0"/>
        <w:jc w:val="left"/>
        <w:rPr>
          <w:rFonts w:ascii="仿宋" w:hAnsi="仿宋" w:eastAsia="仿宋"/>
          <w:sz w:val="36"/>
          <w:szCs w:val="36"/>
          <w:lang w:bidi="en-US"/>
        </w:rPr>
      </w:pPr>
      <w:bookmarkStart w:id="58" w:name="_Toc67911620"/>
      <w:bookmarkStart w:id="59" w:name="_Toc165277259"/>
      <w:bookmarkStart w:id="60" w:name="_Toc67911619"/>
      <w:r>
        <w:rPr>
          <w:rFonts w:hint="eastAsia" w:ascii="仿宋" w:hAnsi="仿宋" w:eastAsia="仿宋"/>
          <w:sz w:val="36"/>
          <w:szCs w:val="36"/>
          <w:lang w:bidi="en-US"/>
        </w:rPr>
        <w:t>六、有关建议</w:t>
      </w:r>
      <w:bookmarkEnd w:id="58"/>
      <w:bookmarkStart w:id="62" w:name="_GoBack"/>
      <w:bookmarkEnd w:id="62"/>
    </w:p>
    <w:bookmarkEnd w:id="59"/>
    <w:p w14:paraId="0F948697">
      <w:pPr>
        <w:spacing w:line="360" w:lineRule="auto"/>
        <w:ind w:firstLine="560"/>
        <w:rPr>
          <w:rFonts w:hint="eastAsia" w:ascii="仿宋_GB2312" w:hAnsi="仿宋" w:cs="宋体"/>
          <w:b w:val="0"/>
          <w:bCs w:val="0"/>
          <w:kern w:val="0"/>
          <w:sz w:val="28"/>
          <w:szCs w:val="28"/>
          <w:lang w:val="en-US" w:eastAsia="zh-CN" w:bidi="ar-SA"/>
        </w:rPr>
      </w:pPr>
      <w:r>
        <w:rPr>
          <w:rFonts w:hint="eastAsia" w:ascii="仿宋_GB2312" w:hAnsi="仿宋" w:cs="宋体"/>
          <w:b w:val="0"/>
          <w:bCs w:val="0"/>
          <w:kern w:val="0"/>
          <w:sz w:val="28"/>
          <w:szCs w:val="28"/>
          <w:lang w:val="en-US" w:eastAsia="zh-CN" w:bidi="ar-SA"/>
        </w:rPr>
        <w:t>1、</w:t>
      </w:r>
      <w:r>
        <w:rPr>
          <w:rFonts w:hint="eastAsia" w:ascii="仿宋_GB2312" w:hAnsi="仿宋" w:eastAsia="仿宋_GB2312" w:cs="宋体"/>
          <w:b w:val="0"/>
          <w:bCs w:val="0"/>
          <w:kern w:val="0"/>
          <w:sz w:val="28"/>
          <w:szCs w:val="28"/>
          <w:lang w:val="en-US" w:eastAsia="zh-CN" w:bidi="ar-SA"/>
        </w:rPr>
        <w:t>对预算</w:t>
      </w:r>
      <w:r>
        <w:rPr>
          <w:rFonts w:hint="eastAsia" w:ascii="仿宋_GB2312" w:hAnsi="仿宋" w:cs="宋体"/>
          <w:b w:val="0"/>
          <w:bCs w:val="0"/>
          <w:kern w:val="0"/>
          <w:sz w:val="28"/>
          <w:szCs w:val="28"/>
          <w:lang w:val="en-US" w:eastAsia="zh-CN" w:bidi="ar-SA"/>
        </w:rPr>
        <w:t>绩效建议</w:t>
      </w:r>
      <w:r>
        <w:rPr>
          <w:rFonts w:hint="eastAsia" w:ascii="仿宋_GB2312" w:hAnsi="仿宋" w:eastAsia="仿宋_GB2312" w:cs="宋体"/>
          <w:b w:val="0"/>
          <w:bCs w:val="0"/>
          <w:kern w:val="0"/>
          <w:sz w:val="28"/>
          <w:szCs w:val="28"/>
          <w:lang w:val="en-US" w:eastAsia="zh-CN" w:bidi="ar-SA"/>
        </w:rPr>
        <w:t>：</w:t>
      </w:r>
      <w:r>
        <w:rPr>
          <w:rFonts w:hint="eastAsia" w:ascii="仿宋_GB2312" w:hAnsi="仿宋" w:cs="宋体"/>
          <w:b w:val="0"/>
          <w:bCs w:val="0"/>
          <w:kern w:val="0"/>
          <w:sz w:val="28"/>
          <w:szCs w:val="28"/>
          <w:lang w:val="en-US" w:eastAsia="zh-CN" w:bidi="ar-SA"/>
        </w:rPr>
        <w:t>建议预算绩效上加强指标衔接，强化一级项目绩效目标的统领性，二级项目是一级项目支出的细化和具体化，反映一级项目部分任务和效果。加强一、二级项目之间绩效指标的有机衔接，确保任务相与以配，指标逻辑对应，经部门审核确定后的一级项目绩效目标及指标，随预算报财政部审核批复。二级项目绩效目标及指标，由部门负责审核。</w:t>
      </w:r>
    </w:p>
    <w:p w14:paraId="599BD2C6">
      <w:pPr>
        <w:pStyle w:val="2"/>
        <w:keepNext/>
        <w:keepLines/>
        <w:pageBreakBefore w:val="0"/>
        <w:widowControl w:val="0"/>
        <w:numPr>
          <w:ilvl w:val="0"/>
          <w:numId w:val="0"/>
        </w:numPr>
        <w:kinsoku/>
        <w:wordWrap/>
        <w:overflowPunct/>
        <w:topLinePunct w:val="0"/>
        <w:autoSpaceDE/>
        <w:autoSpaceDN/>
        <w:bidi w:val="0"/>
        <w:adjustRightInd/>
        <w:snapToGrid/>
        <w:spacing w:line="360" w:lineRule="auto"/>
        <w:ind w:firstLine="560" w:firstLineChars="200"/>
        <w:jc w:val="left"/>
        <w:textAlignment w:val="auto"/>
        <w:rPr>
          <w:rFonts w:hint="default" w:ascii="仿宋_GB2312" w:hAnsi="仿宋" w:eastAsia="仿宋_GB2312" w:cs="宋体"/>
          <w:b w:val="0"/>
          <w:bCs w:val="0"/>
          <w:kern w:val="0"/>
          <w:sz w:val="28"/>
          <w:szCs w:val="28"/>
          <w:lang w:val="en-US" w:eastAsia="zh-CN" w:bidi="ar-SA"/>
        </w:rPr>
      </w:pPr>
      <w:r>
        <w:rPr>
          <w:rFonts w:hint="eastAsia" w:ascii="仿宋_GB2312" w:hAnsi="仿宋" w:cs="宋体"/>
          <w:b w:val="0"/>
          <w:bCs w:val="0"/>
          <w:kern w:val="0"/>
          <w:sz w:val="28"/>
          <w:szCs w:val="28"/>
          <w:lang w:val="en-US" w:eastAsia="zh-CN" w:bidi="ar-SA"/>
        </w:rPr>
        <w:t>2.</w:t>
      </w:r>
      <w:r>
        <w:rPr>
          <w:rFonts w:hint="eastAsia" w:ascii="仿宋_GB2312" w:hAnsi="仿宋" w:eastAsia="仿宋_GB2312" w:cs="宋体"/>
          <w:b w:val="0"/>
          <w:bCs w:val="0"/>
          <w:kern w:val="0"/>
          <w:sz w:val="28"/>
          <w:szCs w:val="28"/>
          <w:lang w:val="en-US" w:eastAsia="zh-CN" w:bidi="ar-SA"/>
        </w:rPr>
        <w:t>对</w:t>
      </w:r>
      <w:r>
        <w:rPr>
          <w:rFonts w:hint="eastAsia" w:ascii="仿宋_GB2312" w:hAnsi="仿宋" w:cs="宋体"/>
          <w:b w:val="0"/>
          <w:bCs w:val="0"/>
          <w:kern w:val="0"/>
          <w:sz w:val="28"/>
          <w:szCs w:val="28"/>
          <w:lang w:val="en-US" w:eastAsia="zh-CN" w:bidi="ar-SA"/>
        </w:rPr>
        <w:t>预算平台</w:t>
      </w:r>
      <w:r>
        <w:rPr>
          <w:rFonts w:hint="eastAsia" w:ascii="仿宋_GB2312" w:hAnsi="仿宋" w:eastAsia="仿宋_GB2312" w:cs="宋体"/>
          <w:b w:val="0"/>
          <w:bCs w:val="0"/>
          <w:kern w:val="0"/>
          <w:sz w:val="28"/>
          <w:szCs w:val="28"/>
          <w:lang w:val="en-US" w:eastAsia="zh-CN" w:bidi="ar-SA"/>
        </w:rPr>
        <w:t>建议</w:t>
      </w:r>
      <w:r>
        <w:rPr>
          <w:rFonts w:hint="eastAsia" w:ascii="仿宋_GB2312" w:hAnsi="仿宋" w:cs="宋体"/>
          <w:b w:val="0"/>
          <w:bCs w:val="0"/>
          <w:kern w:val="0"/>
          <w:sz w:val="28"/>
          <w:szCs w:val="28"/>
          <w:lang w:val="en-US" w:eastAsia="zh-CN" w:bidi="ar-SA"/>
        </w:rPr>
        <w:t>：可分为财务和业务两个模块部分，分别填报，弥补业务人员参与不足的部分。</w:t>
      </w:r>
    </w:p>
    <w:p w14:paraId="5F5D2CA4">
      <w:pPr>
        <w:spacing w:line="360" w:lineRule="auto"/>
        <w:ind w:firstLine="560"/>
        <w:rPr>
          <w:rFonts w:hint="eastAsia" w:ascii="仿宋_GB2312" w:hAnsi="仿宋" w:cs="宋体"/>
          <w:kern w:val="0"/>
          <w:szCs w:val="28"/>
          <w:highlight w:val="red"/>
        </w:rPr>
      </w:pPr>
    </w:p>
    <w:p w14:paraId="2305C8FB">
      <w:pPr>
        <w:pStyle w:val="2"/>
        <w:ind w:firstLine="0" w:firstLineChars="0"/>
        <w:jc w:val="left"/>
        <w:rPr>
          <w:rFonts w:ascii="仿宋" w:hAnsi="仿宋" w:eastAsia="仿宋"/>
          <w:sz w:val="36"/>
          <w:szCs w:val="36"/>
          <w:lang w:bidi="en-US"/>
        </w:rPr>
      </w:pPr>
      <w:bookmarkStart w:id="61" w:name="_Toc165277260"/>
      <w:r>
        <w:rPr>
          <w:rFonts w:hint="eastAsia" w:ascii="仿宋" w:hAnsi="仿宋" w:eastAsia="仿宋"/>
          <w:sz w:val="36"/>
          <w:szCs w:val="36"/>
          <w:lang w:bidi="en-US"/>
        </w:rPr>
        <w:t>七、其他需要说明的问题</w:t>
      </w:r>
      <w:bookmarkEnd w:id="60"/>
      <w:bookmarkEnd w:id="61"/>
    </w:p>
    <w:p w14:paraId="5F20E51D">
      <w:pPr>
        <w:spacing w:line="360" w:lineRule="auto"/>
        <w:ind w:firstLine="560"/>
        <w:rPr>
          <w:rFonts w:ascii="仿宋_GB2312"/>
          <w:szCs w:val="28"/>
        </w:rPr>
      </w:pPr>
      <w:r>
        <w:rPr>
          <w:rFonts w:hint="eastAsia" w:ascii="仿宋_GB2312"/>
          <w:szCs w:val="28"/>
        </w:rPr>
        <w:t>1</w:t>
      </w:r>
      <w:r>
        <w:rPr>
          <w:rFonts w:ascii="仿宋_GB2312"/>
          <w:szCs w:val="28"/>
        </w:rPr>
        <w:t>.</w:t>
      </w:r>
      <w:r>
        <w:rPr>
          <w:rFonts w:hint="eastAsia" w:ascii="仿宋_GB2312"/>
          <w:szCs w:val="28"/>
        </w:rPr>
        <w:t>项目支出政策和路径设计科学，符合实际需要；</w:t>
      </w:r>
    </w:p>
    <w:p w14:paraId="6BFE51DC">
      <w:pPr>
        <w:spacing w:line="360" w:lineRule="auto"/>
        <w:ind w:firstLine="560"/>
        <w:rPr>
          <w:rFonts w:ascii="仿宋_GB2312"/>
          <w:szCs w:val="28"/>
        </w:rPr>
      </w:pPr>
      <w:r>
        <w:rPr>
          <w:rFonts w:ascii="仿宋_GB2312"/>
          <w:szCs w:val="28"/>
        </w:rPr>
        <w:t>2.</w:t>
      </w:r>
      <w:r>
        <w:rPr>
          <w:rFonts w:hint="eastAsia" w:ascii="仿宋_GB2312"/>
          <w:szCs w:val="28"/>
        </w:rPr>
        <w:t>项目安排准确，未发现背离项目立项初衷的情况；</w:t>
      </w:r>
    </w:p>
    <w:p w14:paraId="36C6D6D3">
      <w:pPr>
        <w:spacing w:line="360" w:lineRule="auto"/>
        <w:ind w:firstLine="560"/>
        <w:rPr>
          <w:rFonts w:ascii="仿宋_GB2312"/>
          <w:szCs w:val="28"/>
        </w:rPr>
      </w:pPr>
      <w:r>
        <w:rPr>
          <w:rFonts w:ascii="仿宋_GB2312"/>
          <w:szCs w:val="28"/>
        </w:rPr>
        <w:t>3.</w:t>
      </w:r>
      <w:r>
        <w:rPr>
          <w:rFonts w:hint="eastAsia" w:ascii="仿宋_GB2312"/>
          <w:szCs w:val="28"/>
        </w:rPr>
        <w:t>项目的申报、审核机制完善；</w:t>
      </w:r>
    </w:p>
    <w:p w14:paraId="12FDE87E">
      <w:pPr>
        <w:spacing w:line="360" w:lineRule="auto"/>
        <w:ind w:firstLine="560"/>
        <w:rPr>
          <w:rFonts w:ascii="仿宋_GB2312"/>
          <w:szCs w:val="28"/>
        </w:rPr>
      </w:pPr>
      <w:r>
        <w:rPr>
          <w:rFonts w:ascii="仿宋_GB2312"/>
          <w:szCs w:val="28"/>
        </w:rPr>
        <w:t>4.</w:t>
      </w:r>
      <w:r>
        <w:rPr>
          <w:rFonts w:hint="eastAsia" w:ascii="仿宋_GB2312"/>
          <w:szCs w:val="28"/>
        </w:rPr>
        <w:t>未发现虚假行为和骗取财政资金的问题。</w:t>
      </w:r>
    </w:p>
    <w:p w14:paraId="0835DFC0">
      <w:pPr>
        <w:spacing w:line="360" w:lineRule="auto"/>
        <w:ind w:firstLine="560"/>
        <w:rPr>
          <w:rFonts w:ascii="仿宋_GB2312"/>
          <w:szCs w:val="28"/>
        </w:rPr>
      </w:pPr>
    </w:p>
    <w:sectPr>
      <w:headerReference r:id="rId13" w:type="default"/>
      <w:footerReference r:id="rId14" w:type="default"/>
      <w:footnotePr>
        <w:numFmt w:val="decimalEnclosedCircleChinese"/>
        <w:numRestart w:val="eachPage"/>
      </w:footnotePr>
      <w:type w:val="continuous"/>
      <w:pgSz w:w="11906" w:h="16838"/>
      <w:pgMar w:top="1440" w:right="1800" w:bottom="1440" w:left="1800" w:header="992" w:footer="992" w:gutter="0"/>
      <w:cols w:space="425" w:num="1"/>
      <w:docGrid w:type="lines" w:linePitch="381" w:charSpace="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endnote w:type="separator" w:id="0">
    <w:p>
      <w:pPr>
        <w:ind w:firstLine="560"/>
      </w:pPr>
      <w:r>
        <w:separator/>
      </w:r>
    </w:p>
  </w:endnote>
  <w:endnote w:type="continuationSeparator" w:id="1">
    <w:p>
      <w:pPr>
        <w:ind w:firstLine="56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等线">
    <w:altName w:val="微软雅黑"/>
    <w:panose1 w:val="02010600030101010101"/>
    <w:charset w:val="86"/>
    <w:family w:val="auto"/>
    <w:pitch w:val="default"/>
    <w:sig w:usb0="00000000" w:usb1="00000000" w:usb2="00000016" w:usb3="00000000" w:csb0="0004000F" w:csb1="00000000"/>
  </w:font>
  <w:font w:name="等线">
    <w:altName w:val="微软雅黑"/>
    <w:panose1 w:val="00000000000000000000"/>
    <w:charset w:val="86"/>
    <w:family w:val="auto"/>
    <w:pitch w:val="default"/>
    <w:sig w:usb0="00000000" w:usb1="00000000" w:usb2="00000000" w:usb3="00000000" w:csb0="00000000" w:csb1="00000000"/>
  </w:font>
  <w:font w:name="等线">
    <w:altName w:val="微软雅黑"/>
    <w:panose1 w:val="00000000000000000000"/>
    <w:charset w:val="00"/>
    <w:family w:val="auto"/>
    <w:pitch w:val="default"/>
    <w:sig w:usb0="00000000" w:usb1="00000000" w:usb2="00000000" w:usb3="00000000" w:csb0="00000000" w:csb1="00000000"/>
  </w:font>
  <w:font w:name="仿宋_GB2312">
    <w:altName w:val="仿宋"/>
    <w:panose1 w:val="00000000000000000000"/>
    <w:charset w:val="86"/>
    <w:family w:val="modern"/>
    <w:pitch w:val="default"/>
    <w:sig w:usb0="00000000" w:usb1="00000000" w:usb2="00000010" w:usb3="00000000" w:csb0="00040000" w:csb1="00000000"/>
  </w:font>
  <w:font w:name="等线 Light">
    <w:altName w:val="宋体"/>
    <w:panose1 w:val="02010600030101010101"/>
    <w:charset w:val="86"/>
    <w:family w:val="auto"/>
    <w:pitch w:val="default"/>
    <w:sig w:usb0="00000000" w:usb1="00000000" w:usb2="00000016" w:usb3="00000000" w:csb0="0004000F" w:csb1="00000000"/>
  </w:font>
  <w:font w:name="仿宋">
    <w:panose1 w:val="02010609060101010101"/>
    <w:charset w:val="86"/>
    <w:family w:val="modern"/>
    <w:pitch w:val="default"/>
    <w:sig w:usb0="800002BF" w:usb1="38CF7CFA" w:usb2="00000016" w:usb3="00000000" w:csb0="00040001" w:csb1="00000000"/>
  </w:font>
  <w:font w:name="Gungsuh">
    <w:panose1 w:val="02030600000101010101"/>
    <w:charset w:val="81"/>
    <w:family w:val="roman"/>
    <w:pitch w:val="default"/>
    <w:sig w:usb0="B00002AF" w:usb1="69D77CFB" w:usb2="00000030" w:usb3="00000000" w:csb0="4008009F" w:csb1="DFD70000"/>
  </w:font>
  <w:font w:name="华文宋体">
    <w:altName w:val="宋体"/>
    <w:panose1 w:val="02010600040101010101"/>
    <w:charset w:val="86"/>
    <w:family w:val="auto"/>
    <w:pitch w:val="default"/>
    <w:sig w:usb0="00000000" w:usb1="00000000" w:usb2="00000000" w:usb3="00000000" w:csb0="0004009F" w:csb1="DFD70000"/>
  </w:font>
  <w:font w:name="微软雅黑">
    <w:panose1 w:val="020B0503020204020204"/>
    <w:charset w:val="86"/>
    <w:family w:val="auto"/>
    <w:pitch w:val="default"/>
    <w:sig w:usb0="80000287" w:usb1="280F3C52" w:usb2="00000016" w:usb3="00000000" w:csb0="0004001F" w:csb1="00000000"/>
  </w:font>
  <w:font w:name="等线 Light">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14BE7CA">
    <w:pPr>
      <w:pStyle w:val="9"/>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5C75797">
    <w:pPr>
      <w:pStyle w:val="9"/>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4415249">
    <w:pPr>
      <w:pStyle w:val="9"/>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276182009"/>
      <w:docPartObj>
        <w:docPartGallery w:val="autotext"/>
      </w:docPartObj>
    </w:sdtPr>
    <w:sdtEndPr>
      <w:rPr>
        <w:rFonts w:hint="eastAsia" w:ascii="仿宋_GB2312" w:eastAsia="仿宋_GB2312"/>
        <w:sz w:val="21"/>
        <w:szCs w:val="21"/>
      </w:rPr>
    </w:sdtEndPr>
    <w:sdtContent>
      <w:p w14:paraId="28D66081">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w:t>
        </w:r>
        <w:r>
          <w:rPr>
            <w:rFonts w:hint="eastAsia" w:ascii="仿宋_GB2312" w:eastAsia="仿宋_GB2312"/>
            <w:sz w:val="21"/>
            <w:szCs w:val="21"/>
          </w:rPr>
          <w:fldChar w:fldCharType="end"/>
        </w:r>
      </w:p>
    </w:sdtContent>
  </w:sdt>
  <w:p w14:paraId="57968943">
    <w:pPr>
      <w:pStyle w:val="9"/>
      <w:rPr>
        <w:rFonts w:ascii="仿宋_GB2312" w:eastAsia="仿宋_GB2312"/>
        <w:sz w:val="21"/>
        <w:szCs w:val="21"/>
      </w:rP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691836155"/>
      <w:docPartObj>
        <w:docPartGallery w:val="autotext"/>
      </w:docPartObj>
    </w:sdtPr>
    <w:sdtEndPr>
      <w:rPr>
        <w:rFonts w:hint="eastAsia" w:ascii="仿宋_GB2312" w:eastAsia="仿宋_GB2312"/>
        <w:sz w:val="21"/>
        <w:szCs w:val="21"/>
      </w:rPr>
    </w:sdtEndPr>
    <w:sdtContent>
      <w:p w14:paraId="0F243B43">
        <w:pPr>
          <w:pStyle w:val="9"/>
          <w:ind w:firstLine="560"/>
          <w:jc w:val="center"/>
          <w:rPr>
            <w:rFonts w:ascii="仿宋_GB2312" w:eastAsia="仿宋_GB2312"/>
            <w:sz w:val="21"/>
            <w:szCs w:val="21"/>
          </w:rPr>
        </w:pPr>
        <w:r>
          <w:rPr>
            <w:rFonts w:hint="eastAsia" w:ascii="仿宋_GB2312" w:eastAsia="仿宋_GB2312"/>
            <w:sz w:val="21"/>
            <w:szCs w:val="21"/>
          </w:rPr>
          <w:fldChar w:fldCharType="begin"/>
        </w:r>
        <w:r>
          <w:rPr>
            <w:rFonts w:hint="eastAsia" w:ascii="仿宋_GB2312" w:eastAsia="仿宋_GB2312"/>
            <w:sz w:val="21"/>
            <w:szCs w:val="21"/>
          </w:rPr>
          <w:instrText xml:space="preserve">PAGE   \* MERGEFORMAT</w:instrText>
        </w:r>
        <w:r>
          <w:rPr>
            <w:rFonts w:hint="eastAsia" w:ascii="仿宋_GB2312" w:eastAsia="仿宋_GB2312"/>
            <w:sz w:val="21"/>
            <w:szCs w:val="21"/>
          </w:rPr>
          <w:fldChar w:fldCharType="separate"/>
        </w:r>
        <w:r>
          <w:rPr>
            <w:rFonts w:ascii="仿宋_GB2312" w:eastAsia="仿宋_GB2312"/>
            <w:sz w:val="21"/>
            <w:szCs w:val="21"/>
            <w:lang w:val="zh-CN"/>
          </w:rPr>
          <w:t>16</w:t>
        </w:r>
        <w:r>
          <w:rPr>
            <w:rFonts w:hint="eastAsia" w:ascii="仿宋_GB2312" w:eastAsia="仿宋_GB2312"/>
            <w:sz w:val="21"/>
            <w:szCs w:val="21"/>
          </w:rPr>
          <w:fldChar w:fldCharType="end"/>
        </w:r>
      </w:p>
    </w:sdtContent>
  </w:sdt>
  <w:p w14:paraId="2135BE59">
    <w:pPr>
      <w:pStyle w:val="9"/>
      <w:rPr>
        <w:rFonts w:ascii="仿宋_GB2312" w:eastAsia="仿宋_GB2312"/>
        <w:sz w:val="21"/>
        <w:szCs w:val="21"/>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4">
    <w:p>
      <w:pPr>
        <w:ind w:firstLine="560"/>
      </w:pPr>
      <w:r>
        <w:separator/>
      </w:r>
    </w:p>
  </w:footnote>
  <w:footnote w:type="continuationSeparator" w:id="5">
    <w:p>
      <w:pPr>
        <w:ind w:firstLine="560"/>
      </w:pPr>
      <w:r>
        <w:continuationSeparator/>
      </w:r>
    </w:p>
  </w:footnote>
  <w:footnote w:id="0">
    <w:p w14:paraId="7EBB5AB9">
      <w:pPr>
        <w:pStyle w:val="12"/>
        <w:ind w:firstLine="0" w:firstLineChars="0"/>
        <w:jc w:val="both"/>
        <w:rPr>
          <w:rFonts w:ascii="仿宋_GB2312"/>
        </w:rPr>
      </w:pPr>
      <w:r>
        <w:rPr>
          <w:rStyle w:val="20"/>
          <w:rFonts w:hint="eastAsia" w:ascii="仿宋_GB2312"/>
        </w:rPr>
        <w:footnoteRef/>
      </w:r>
      <w:r>
        <w:rPr>
          <w:rFonts w:hint="eastAsia" w:ascii="仿宋_GB2312"/>
        </w:rPr>
        <w:t xml:space="preserve"> 前期准备主要包括实地调研和认真研读相关文件，根据绩效评价的基本原理、原则和项目特点，结合项目绩效目标，项目绩效评组制定了评价指标体系、评分标准、评价方法和相关的工作程序及步骤，形成评价初步方案。</w:t>
      </w:r>
    </w:p>
  </w:footnote>
  <w:footnote w:id="1">
    <w:p w14:paraId="54CF9D8E">
      <w:pPr>
        <w:pStyle w:val="12"/>
        <w:ind w:firstLine="0" w:firstLineChars="0"/>
        <w:jc w:val="both"/>
        <w:rPr>
          <w:rFonts w:ascii="仿宋_GB2312"/>
        </w:rPr>
      </w:pPr>
      <w:r>
        <w:rPr>
          <w:rFonts w:hint="eastAsia" w:ascii="仿宋_GB2312"/>
        </w:rPr>
        <w:t>本次绩效评价结果实施百分制和四级分类，其中90（含）-100分为优、80（含）-90分为良、</w:t>
      </w:r>
      <w:r>
        <w:rPr>
          <w:rFonts w:ascii="仿宋_GB2312"/>
        </w:rPr>
        <w:t>7</w:t>
      </w:r>
      <w:r>
        <w:rPr>
          <w:rFonts w:hint="eastAsia" w:ascii="仿宋_GB2312"/>
        </w:rPr>
        <w:t>0（含）-80分为中、</w:t>
      </w:r>
      <w:r>
        <w:rPr>
          <w:rFonts w:ascii="仿宋_GB2312"/>
        </w:rPr>
        <w:t>7</w:t>
      </w:r>
      <w:r>
        <w:rPr>
          <w:rFonts w:hint="eastAsia" w:ascii="仿宋_GB2312"/>
        </w:rPr>
        <w:t>0分以下为差。</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4E6F8C5">
    <w:pPr>
      <w:ind w:firstLine="0" w:firstLineChars="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BC0746">
    <w:pPr>
      <w:pStyle w:val="1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7DF6803">
    <w:pPr>
      <w:pStyle w:val="1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6C8B63">
    <w:pPr>
      <w:pStyle w:val="10"/>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757B5D0">
    <w:pPr>
      <w:pStyle w:val="10"/>
      <w:ind w:firstLine="560"/>
      <w:jc w:val="right"/>
      <w:rPr>
        <w:rFonts w:ascii="仿宋_GB2312" w:eastAsia="仿宋_GB2312"/>
        <w:sz w:val="21"/>
        <w:szCs w:val="21"/>
      </w:rPr>
    </w:pPr>
    <w:r>
      <w:rPr>
        <w:rFonts w:hint="eastAsia" w:ascii="仿宋_GB2312" w:eastAsia="仿宋_GB2312"/>
        <w:sz w:val="21"/>
        <w:szCs w:val="21"/>
      </w:rPr>
      <w:t>部门项目报告模板</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40"/>
  <w:drawingGridVerticalSpacing w:val="381"/>
  <w:displayHorizontalDrawingGridEvery w:val="0"/>
  <w:characterSpacingControl w:val="compressPunctuation"/>
  <w:footnotePr>
    <w:footnote w:id="4"/>
    <w:footnote w:id="5"/>
  </w:footnotePr>
  <w:endnotePr>
    <w:endnote w:id="0"/>
    <w:endnote w:id="1"/>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BlNTA2YmJiYzdmNzZhOWM0MDliYmFkZjZhOGI4MjkifQ=="/>
  </w:docVars>
  <w:rsids>
    <w:rsidRoot w:val="00A43A0A"/>
    <w:rsid w:val="00031A7F"/>
    <w:rsid w:val="00042151"/>
    <w:rsid w:val="000438A0"/>
    <w:rsid w:val="0007002C"/>
    <w:rsid w:val="00071C0F"/>
    <w:rsid w:val="00086724"/>
    <w:rsid w:val="000969AD"/>
    <w:rsid w:val="000A2B58"/>
    <w:rsid w:val="000A43E8"/>
    <w:rsid w:val="000B520E"/>
    <w:rsid w:val="000B6FA0"/>
    <w:rsid w:val="000C22A1"/>
    <w:rsid w:val="000C720A"/>
    <w:rsid w:val="000C77D3"/>
    <w:rsid w:val="000E1EB5"/>
    <w:rsid w:val="000F5DE3"/>
    <w:rsid w:val="00111969"/>
    <w:rsid w:val="00147D9F"/>
    <w:rsid w:val="001544E6"/>
    <w:rsid w:val="001645EB"/>
    <w:rsid w:val="00187B13"/>
    <w:rsid w:val="001A3189"/>
    <w:rsid w:val="001A79B9"/>
    <w:rsid w:val="001C50BA"/>
    <w:rsid w:val="001D66B5"/>
    <w:rsid w:val="001E754D"/>
    <w:rsid w:val="001E7E9F"/>
    <w:rsid w:val="00201C55"/>
    <w:rsid w:val="00212817"/>
    <w:rsid w:val="00213964"/>
    <w:rsid w:val="00220DC6"/>
    <w:rsid w:val="0022245F"/>
    <w:rsid w:val="0022294C"/>
    <w:rsid w:val="00225A82"/>
    <w:rsid w:val="00247354"/>
    <w:rsid w:val="00250131"/>
    <w:rsid w:val="00261F2F"/>
    <w:rsid w:val="00262533"/>
    <w:rsid w:val="00262B75"/>
    <w:rsid w:val="002767C9"/>
    <w:rsid w:val="002810AA"/>
    <w:rsid w:val="002A6E59"/>
    <w:rsid w:val="002B7C09"/>
    <w:rsid w:val="002E1E67"/>
    <w:rsid w:val="002E608B"/>
    <w:rsid w:val="00302E15"/>
    <w:rsid w:val="0032183D"/>
    <w:rsid w:val="0032329D"/>
    <w:rsid w:val="00332C71"/>
    <w:rsid w:val="00333EA5"/>
    <w:rsid w:val="00340CED"/>
    <w:rsid w:val="00343485"/>
    <w:rsid w:val="00350839"/>
    <w:rsid w:val="003766AB"/>
    <w:rsid w:val="00377BA7"/>
    <w:rsid w:val="003C24DB"/>
    <w:rsid w:val="003C4BD9"/>
    <w:rsid w:val="003D611E"/>
    <w:rsid w:val="003D74DE"/>
    <w:rsid w:val="00404C10"/>
    <w:rsid w:val="004249EE"/>
    <w:rsid w:val="00425C1F"/>
    <w:rsid w:val="00437C39"/>
    <w:rsid w:val="00453D4B"/>
    <w:rsid w:val="004925F6"/>
    <w:rsid w:val="004957B3"/>
    <w:rsid w:val="004B12BE"/>
    <w:rsid w:val="004B5A40"/>
    <w:rsid w:val="004D4759"/>
    <w:rsid w:val="004E0DF3"/>
    <w:rsid w:val="004F17C9"/>
    <w:rsid w:val="004F66E9"/>
    <w:rsid w:val="00502EC2"/>
    <w:rsid w:val="005345BF"/>
    <w:rsid w:val="00534DD6"/>
    <w:rsid w:val="005417D4"/>
    <w:rsid w:val="0054442E"/>
    <w:rsid w:val="00553F30"/>
    <w:rsid w:val="00563798"/>
    <w:rsid w:val="00566083"/>
    <w:rsid w:val="0056794C"/>
    <w:rsid w:val="005764CD"/>
    <w:rsid w:val="005779FD"/>
    <w:rsid w:val="0058379D"/>
    <w:rsid w:val="00592653"/>
    <w:rsid w:val="00593474"/>
    <w:rsid w:val="005A12D0"/>
    <w:rsid w:val="005A2254"/>
    <w:rsid w:val="005A5ABF"/>
    <w:rsid w:val="005A5E3B"/>
    <w:rsid w:val="005A76A5"/>
    <w:rsid w:val="005B7A28"/>
    <w:rsid w:val="005D02D3"/>
    <w:rsid w:val="005D2F48"/>
    <w:rsid w:val="005D4D5B"/>
    <w:rsid w:val="005E2098"/>
    <w:rsid w:val="005F226E"/>
    <w:rsid w:val="005F273F"/>
    <w:rsid w:val="005F3A17"/>
    <w:rsid w:val="00604BA5"/>
    <w:rsid w:val="00607D5B"/>
    <w:rsid w:val="00611B95"/>
    <w:rsid w:val="00614CEC"/>
    <w:rsid w:val="00627F97"/>
    <w:rsid w:val="0065079B"/>
    <w:rsid w:val="00656DB7"/>
    <w:rsid w:val="00662C67"/>
    <w:rsid w:val="006B60FE"/>
    <w:rsid w:val="006C40AE"/>
    <w:rsid w:val="006E6431"/>
    <w:rsid w:val="006F3315"/>
    <w:rsid w:val="007027A1"/>
    <w:rsid w:val="00705854"/>
    <w:rsid w:val="00722A72"/>
    <w:rsid w:val="0073210F"/>
    <w:rsid w:val="00733402"/>
    <w:rsid w:val="0073417E"/>
    <w:rsid w:val="00743F96"/>
    <w:rsid w:val="0076734C"/>
    <w:rsid w:val="0078063A"/>
    <w:rsid w:val="00783118"/>
    <w:rsid w:val="00794639"/>
    <w:rsid w:val="007A772C"/>
    <w:rsid w:val="007C3F63"/>
    <w:rsid w:val="007F185A"/>
    <w:rsid w:val="007F6051"/>
    <w:rsid w:val="007F6745"/>
    <w:rsid w:val="007F77F3"/>
    <w:rsid w:val="008123C5"/>
    <w:rsid w:val="00831695"/>
    <w:rsid w:val="008327EB"/>
    <w:rsid w:val="00835535"/>
    <w:rsid w:val="00845BE2"/>
    <w:rsid w:val="00863F65"/>
    <w:rsid w:val="00866FB0"/>
    <w:rsid w:val="00884C5F"/>
    <w:rsid w:val="00894E2C"/>
    <w:rsid w:val="008A3394"/>
    <w:rsid w:val="008A476A"/>
    <w:rsid w:val="008C4803"/>
    <w:rsid w:val="008D3FFC"/>
    <w:rsid w:val="008D6D96"/>
    <w:rsid w:val="009068E0"/>
    <w:rsid w:val="00907B15"/>
    <w:rsid w:val="00917C57"/>
    <w:rsid w:val="009214DF"/>
    <w:rsid w:val="00923604"/>
    <w:rsid w:val="009258BD"/>
    <w:rsid w:val="00933961"/>
    <w:rsid w:val="009546FE"/>
    <w:rsid w:val="0095473C"/>
    <w:rsid w:val="00954936"/>
    <w:rsid w:val="00963948"/>
    <w:rsid w:val="00981879"/>
    <w:rsid w:val="0098656D"/>
    <w:rsid w:val="00995079"/>
    <w:rsid w:val="00996B5B"/>
    <w:rsid w:val="009A33B6"/>
    <w:rsid w:val="009D4C5C"/>
    <w:rsid w:val="009F1224"/>
    <w:rsid w:val="009F55B0"/>
    <w:rsid w:val="00A00443"/>
    <w:rsid w:val="00A106CE"/>
    <w:rsid w:val="00A2064E"/>
    <w:rsid w:val="00A22963"/>
    <w:rsid w:val="00A425B1"/>
    <w:rsid w:val="00A43A0A"/>
    <w:rsid w:val="00A52E6C"/>
    <w:rsid w:val="00A52E72"/>
    <w:rsid w:val="00A675F9"/>
    <w:rsid w:val="00A92F9F"/>
    <w:rsid w:val="00AB7184"/>
    <w:rsid w:val="00AD5430"/>
    <w:rsid w:val="00AE1DCD"/>
    <w:rsid w:val="00AE6C31"/>
    <w:rsid w:val="00B22F6F"/>
    <w:rsid w:val="00B4167E"/>
    <w:rsid w:val="00B56B1B"/>
    <w:rsid w:val="00B72218"/>
    <w:rsid w:val="00B90BA4"/>
    <w:rsid w:val="00B928FF"/>
    <w:rsid w:val="00B962E0"/>
    <w:rsid w:val="00BA0A35"/>
    <w:rsid w:val="00BA10B1"/>
    <w:rsid w:val="00BA13B7"/>
    <w:rsid w:val="00BA65B8"/>
    <w:rsid w:val="00BA76B5"/>
    <w:rsid w:val="00BC5C63"/>
    <w:rsid w:val="00BD263E"/>
    <w:rsid w:val="00BF1766"/>
    <w:rsid w:val="00C00DA2"/>
    <w:rsid w:val="00C10C79"/>
    <w:rsid w:val="00C20C51"/>
    <w:rsid w:val="00C409B9"/>
    <w:rsid w:val="00C634EC"/>
    <w:rsid w:val="00C66545"/>
    <w:rsid w:val="00C8191C"/>
    <w:rsid w:val="00C927D9"/>
    <w:rsid w:val="00CA74C5"/>
    <w:rsid w:val="00CB3DFC"/>
    <w:rsid w:val="00CB6D38"/>
    <w:rsid w:val="00CE6337"/>
    <w:rsid w:val="00CF640C"/>
    <w:rsid w:val="00D04E2D"/>
    <w:rsid w:val="00D152B1"/>
    <w:rsid w:val="00D23DCB"/>
    <w:rsid w:val="00D3320C"/>
    <w:rsid w:val="00D435A3"/>
    <w:rsid w:val="00D4562E"/>
    <w:rsid w:val="00D84293"/>
    <w:rsid w:val="00D9228E"/>
    <w:rsid w:val="00DA4BA7"/>
    <w:rsid w:val="00DB316E"/>
    <w:rsid w:val="00DC1EA8"/>
    <w:rsid w:val="00DD54BF"/>
    <w:rsid w:val="00DF643F"/>
    <w:rsid w:val="00E00B28"/>
    <w:rsid w:val="00E014DB"/>
    <w:rsid w:val="00E04EC2"/>
    <w:rsid w:val="00E14FE5"/>
    <w:rsid w:val="00E24ACA"/>
    <w:rsid w:val="00E26770"/>
    <w:rsid w:val="00E30B1D"/>
    <w:rsid w:val="00E526C7"/>
    <w:rsid w:val="00E73F9C"/>
    <w:rsid w:val="00E75E83"/>
    <w:rsid w:val="00EA63EF"/>
    <w:rsid w:val="00EA7E72"/>
    <w:rsid w:val="00EB0442"/>
    <w:rsid w:val="00EC5F03"/>
    <w:rsid w:val="00EE20A2"/>
    <w:rsid w:val="00EF3B51"/>
    <w:rsid w:val="00F06D23"/>
    <w:rsid w:val="00F36E98"/>
    <w:rsid w:val="00F52C6D"/>
    <w:rsid w:val="00F55451"/>
    <w:rsid w:val="00F73710"/>
    <w:rsid w:val="00F872E7"/>
    <w:rsid w:val="00FA4373"/>
    <w:rsid w:val="00FB09C6"/>
    <w:rsid w:val="00FB2BBD"/>
    <w:rsid w:val="00FD7A36"/>
    <w:rsid w:val="00FD7C5F"/>
    <w:rsid w:val="00FE193C"/>
    <w:rsid w:val="00FE7DCA"/>
    <w:rsid w:val="00FF0452"/>
    <w:rsid w:val="015B4FE6"/>
    <w:rsid w:val="019D73AC"/>
    <w:rsid w:val="02AD7AC3"/>
    <w:rsid w:val="03B86720"/>
    <w:rsid w:val="044C6E68"/>
    <w:rsid w:val="044E7BC6"/>
    <w:rsid w:val="04E377CC"/>
    <w:rsid w:val="05017C52"/>
    <w:rsid w:val="0676641E"/>
    <w:rsid w:val="06F23CF7"/>
    <w:rsid w:val="07416A2C"/>
    <w:rsid w:val="075E138C"/>
    <w:rsid w:val="084367D4"/>
    <w:rsid w:val="0870581B"/>
    <w:rsid w:val="091326A6"/>
    <w:rsid w:val="09523172"/>
    <w:rsid w:val="0AEB1AA0"/>
    <w:rsid w:val="0CAC2B9A"/>
    <w:rsid w:val="0EEC54CF"/>
    <w:rsid w:val="0EF34400"/>
    <w:rsid w:val="0FE32D76"/>
    <w:rsid w:val="10480E2B"/>
    <w:rsid w:val="10885200"/>
    <w:rsid w:val="10E24DDC"/>
    <w:rsid w:val="125A6BF4"/>
    <w:rsid w:val="13C63743"/>
    <w:rsid w:val="13FC4E78"/>
    <w:rsid w:val="147815B3"/>
    <w:rsid w:val="17650515"/>
    <w:rsid w:val="17B44FF8"/>
    <w:rsid w:val="17BF437B"/>
    <w:rsid w:val="180970F2"/>
    <w:rsid w:val="183B65CE"/>
    <w:rsid w:val="198509FA"/>
    <w:rsid w:val="1B60171F"/>
    <w:rsid w:val="1BC23B97"/>
    <w:rsid w:val="1CD75A11"/>
    <w:rsid w:val="1D1A3B4F"/>
    <w:rsid w:val="1D7A45EE"/>
    <w:rsid w:val="1DA022A7"/>
    <w:rsid w:val="1DDF4451"/>
    <w:rsid w:val="1FAF67D1"/>
    <w:rsid w:val="1FDA1374"/>
    <w:rsid w:val="21091F11"/>
    <w:rsid w:val="21132D8F"/>
    <w:rsid w:val="21AE4866"/>
    <w:rsid w:val="226338A3"/>
    <w:rsid w:val="22CC1448"/>
    <w:rsid w:val="23711FEF"/>
    <w:rsid w:val="23955CDE"/>
    <w:rsid w:val="264D6D43"/>
    <w:rsid w:val="28186EDD"/>
    <w:rsid w:val="28991DCC"/>
    <w:rsid w:val="290556B4"/>
    <w:rsid w:val="29424212"/>
    <w:rsid w:val="297B5976"/>
    <w:rsid w:val="29B17794"/>
    <w:rsid w:val="2A8828EC"/>
    <w:rsid w:val="2AA902C1"/>
    <w:rsid w:val="2B3E4EAD"/>
    <w:rsid w:val="2B7E34FB"/>
    <w:rsid w:val="2C464019"/>
    <w:rsid w:val="2D74105A"/>
    <w:rsid w:val="2E5C5D76"/>
    <w:rsid w:val="2F171C9D"/>
    <w:rsid w:val="315E41AE"/>
    <w:rsid w:val="321D3A6E"/>
    <w:rsid w:val="34F86D32"/>
    <w:rsid w:val="35C83CF1"/>
    <w:rsid w:val="38C764E2"/>
    <w:rsid w:val="3A916DA7"/>
    <w:rsid w:val="3C241E9D"/>
    <w:rsid w:val="3C3A47FE"/>
    <w:rsid w:val="3C4B742A"/>
    <w:rsid w:val="3C5E715D"/>
    <w:rsid w:val="3CCC056A"/>
    <w:rsid w:val="3D803103"/>
    <w:rsid w:val="3D9F5C7F"/>
    <w:rsid w:val="400B3158"/>
    <w:rsid w:val="41C04416"/>
    <w:rsid w:val="41D81760"/>
    <w:rsid w:val="4267663F"/>
    <w:rsid w:val="429A6A15"/>
    <w:rsid w:val="43617533"/>
    <w:rsid w:val="4379487C"/>
    <w:rsid w:val="44024872"/>
    <w:rsid w:val="44B30262"/>
    <w:rsid w:val="44BF09B5"/>
    <w:rsid w:val="452B604A"/>
    <w:rsid w:val="45D73ADC"/>
    <w:rsid w:val="46C2478C"/>
    <w:rsid w:val="492E6109"/>
    <w:rsid w:val="499F60FC"/>
    <w:rsid w:val="49B91E77"/>
    <w:rsid w:val="49CF169A"/>
    <w:rsid w:val="4A233794"/>
    <w:rsid w:val="4E2F0959"/>
    <w:rsid w:val="4E4B32B9"/>
    <w:rsid w:val="4EF36342"/>
    <w:rsid w:val="4F6E54B1"/>
    <w:rsid w:val="4FBA06F6"/>
    <w:rsid w:val="4FFC0D0F"/>
    <w:rsid w:val="500951DA"/>
    <w:rsid w:val="50A82C45"/>
    <w:rsid w:val="519C4E3A"/>
    <w:rsid w:val="51AA116A"/>
    <w:rsid w:val="52AC6214"/>
    <w:rsid w:val="53E67D0C"/>
    <w:rsid w:val="5402441A"/>
    <w:rsid w:val="54F16968"/>
    <w:rsid w:val="55C776C9"/>
    <w:rsid w:val="55E02539"/>
    <w:rsid w:val="571132F2"/>
    <w:rsid w:val="58C44394"/>
    <w:rsid w:val="58DC16DE"/>
    <w:rsid w:val="5A957D96"/>
    <w:rsid w:val="5AEE3BE5"/>
    <w:rsid w:val="5DB1138B"/>
    <w:rsid w:val="5DDC5CDC"/>
    <w:rsid w:val="5DE27796"/>
    <w:rsid w:val="5DFB43B4"/>
    <w:rsid w:val="5E0A45F7"/>
    <w:rsid w:val="5E343D6A"/>
    <w:rsid w:val="5F8A5AB2"/>
    <w:rsid w:val="5FE11A5B"/>
    <w:rsid w:val="60365B77"/>
    <w:rsid w:val="60B92304"/>
    <w:rsid w:val="614B5652"/>
    <w:rsid w:val="623706E4"/>
    <w:rsid w:val="643979E4"/>
    <w:rsid w:val="64616F3B"/>
    <w:rsid w:val="647B7FFD"/>
    <w:rsid w:val="65387AA5"/>
    <w:rsid w:val="656F3050"/>
    <w:rsid w:val="65B65064"/>
    <w:rsid w:val="67544B35"/>
    <w:rsid w:val="676C1E7F"/>
    <w:rsid w:val="678E0047"/>
    <w:rsid w:val="67C25F42"/>
    <w:rsid w:val="68182006"/>
    <w:rsid w:val="683926A8"/>
    <w:rsid w:val="68C33D20"/>
    <w:rsid w:val="698E07D2"/>
    <w:rsid w:val="69DD7064"/>
    <w:rsid w:val="69FA5E67"/>
    <w:rsid w:val="6AA45DD3"/>
    <w:rsid w:val="6B572E46"/>
    <w:rsid w:val="6B975E2B"/>
    <w:rsid w:val="6DC24EEE"/>
    <w:rsid w:val="6DE81D0F"/>
    <w:rsid w:val="6FA50623"/>
    <w:rsid w:val="705B5186"/>
    <w:rsid w:val="70755580"/>
    <w:rsid w:val="70787AE6"/>
    <w:rsid w:val="71D92806"/>
    <w:rsid w:val="72E94CCB"/>
    <w:rsid w:val="732E0930"/>
    <w:rsid w:val="740A4EF9"/>
    <w:rsid w:val="74CB0B2C"/>
    <w:rsid w:val="75091655"/>
    <w:rsid w:val="75A86778"/>
    <w:rsid w:val="75F45E61"/>
    <w:rsid w:val="76375D4D"/>
    <w:rsid w:val="76746FA2"/>
    <w:rsid w:val="76FF4ABD"/>
    <w:rsid w:val="77721026"/>
    <w:rsid w:val="77B75398"/>
    <w:rsid w:val="77E429FC"/>
    <w:rsid w:val="781814EC"/>
    <w:rsid w:val="784B5AE0"/>
    <w:rsid w:val="793D7B1F"/>
    <w:rsid w:val="7A6D1D3E"/>
    <w:rsid w:val="7A943D7D"/>
    <w:rsid w:val="7ABD0F17"/>
    <w:rsid w:val="7B0525BA"/>
    <w:rsid w:val="7C033659"/>
    <w:rsid w:val="7CCF4F32"/>
    <w:rsid w:val="7CF36E72"/>
    <w:rsid w:val="7D0927C6"/>
    <w:rsid w:val="7D1F7C67"/>
    <w:rsid w:val="7E01338D"/>
    <w:rsid w:val="7E15697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qFormat="1" w:uiPriority="39" w:semiHidden="0"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qFormat="1" w:uiPriority="99" w:name="footnote text"/>
    <w:lsdException w:qFormat="1" w:uiPriority="99" w:semiHidden="0"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qFormat="1" w:uiPriority="99" w:name="footnote reference"/>
    <w:lsdException w:qFormat="1"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qFormat="1"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qFormat="1"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qFormat="1" w:unhideWhenUsed="0" w:uiPriority="3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ind w:firstLine="600" w:firstLineChars="200"/>
      <w:jc w:val="both"/>
    </w:pPr>
    <w:rPr>
      <w:rFonts w:ascii="Calibri" w:hAnsi="Calibri" w:eastAsia="仿宋_GB2312" w:cs="黑体"/>
      <w:kern w:val="2"/>
      <w:sz w:val="28"/>
      <w:szCs w:val="22"/>
      <w:lang w:val="en-US" w:eastAsia="zh-CN" w:bidi="ar-SA"/>
    </w:rPr>
  </w:style>
  <w:style w:type="paragraph" w:styleId="2">
    <w:name w:val="heading 1"/>
    <w:basedOn w:val="1"/>
    <w:next w:val="1"/>
    <w:link w:val="28"/>
    <w:autoRedefine/>
    <w:qFormat/>
    <w:uiPriority w:val="9"/>
    <w:pPr>
      <w:keepNext/>
      <w:keepLines/>
      <w:spacing w:before="340" w:after="330" w:line="578" w:lineRule="auto"/>
      <w:outlineLvl w:val="0"/>
    </w:pPr>
    <w:rPr>
      <w:b/>
      <w:bCs/>
      <w:kern w:val="44"/>
      <w:sz w:val="44"/>
      <w:szCs w:val="44"/>
    </w:rPr>
  </w:style>
  <w:style w:type="paragraph" w:styleId="3">
    <w:name w:val="heading 2"/>
    <w:basedOn w:val="1"/>
    <w:next w:val="1"/>
    <w:link w:val="24"/>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paragraph" w:styleId="4">
    <w:name w:val="heading 3"/>
    <w:basedOn w:val="1"/>
    <w:next w:val="1"/>
    <w:link w:val="33"/>
    <w:autoRedefine/>
    <w:unhideWhenUsed/>
    <w:qFormat/>
    <w:uiPriority w:val="9"/>
    <w:pPr>
      <w:keepNext/>
      <w:keepLines/>
      <w:spacing w:before="260" w:after="260" w:line="416" w:lineRule="auto"/>
      <w:outlineLvl w:val="2"/>
    </w:pPr>
    <w:rPr>
      <w:b/>
      <w:bCs/>
      <w:sz w:val="32"/>
      <w:szCs w:val="32"/>
    </w:rPr>
  </w:style>
  <w:style w:type="character" w:default="1" w:styleId="17">
    <w:name w:val="Default Paragraph Font"/>
    <w:autoRedefine/>
    <w:semiHidden/>
    <w:unhideWhenUsed/>
    <w:qFormat/>
    <w:uiPriority w:val="1"/>
  </w:style>
  <w:style w:type="table" w:default="1" w:styleId="15">
    <w:name w:val="Normal Table"/>
    <w:autoRedefine/>
    <w:semiHidden/>
    <w:unhideWhenUsed/>
    <w:qFormat/>
    <w:uiPriority w:val="99"/>
    <w:tblPr>
      <w:tblCellMar>
        <w:top w:w="0" w:type="dxa"/>
        <w:left w:w="108" w:type="dxa"/>
        <w:bottom w:w="0" w:type="dxa"/>
        <w:right w:w="108" w:type="dxa"/>
      </w:tblCellMar>
    </w:tblPr>
  </w:style>
  <w:style w:type="paragraph" w:styleId="5">
    <w:name w:val="annotation text"/>
    <w:basedOn w:val="1"/>
    <w:link w:val="30"/>
    <w:autoRedefine/>
    <w:unhideWhenUsed/>
    <w:qFormat/>
    <w:uiPriority w:val="99"/>
    <w:pPr>
      <w:jc w:val="left"/>
    </w:pPr>
  </w:style>
  <w:style w:type="paragraph" w:styleId="6">
    <w:name w:val="toc 3"/>
    <w:basedOn w:val="1"/>
    <w:next w:val="1"/>
    <w:autoRedefine/>
    <w:unhideWhenUsed/>
    <w:qFormat/>
    <w:uiPriority w:val="39"/>
    <w:pPr>
      <w:ind w:left="840" w:leftChars="400"/>
    </w:pPr>
  </w:style>
  <w:style w:type="paragraph" w:styleId="7">
    <w:name w:val="Date"/>
    <w:basedOn w:val="1"/>
    <w:next w:val="1"/>
    <w:link w:val="23"/>
    <w:autoRedefine/>
    <w:semiHidden/>
    <w:unhideWhenUsed/>
    <w:qFormat/>
    <w:uiPriority w:val="99"/>
    <w:pPr>
      <w:ind w:left="100" w:leftChars="2500"/>
    </w:pPr>
  </w:style>
  <w:style w:type="paragraph" w:styleId="8">
    <w:name w:val="Balloon Text"/>
    <w:basedOn w:val="1"/>
    <w:link w:val="32"/>
    <w:autoRedefine/>
    <w:semiHidden/>
    <w:unhideWhenUsed/>
    <w:qFormat/>
    <w:uiPriority w:val="99"/>
    <w:rPr>
      <w:sz w:val="18"/>
      <w:szCs w:val="18"/>
    </w:rPr>
  </w:style>
  <w:style w:type="paragraph" w:styleId="9">
    <w:name w:val="footer"/>
    <w:basedOn w:val="1"/>
    <w:link w:val="22"/>
    <w:autoRedefine/>
    <w:unhideWhenUsed/>
    <w:qFormat/>
    <w:uiPriority w:val="99"/>
    <w:pPr>
      <w:tabs>
        <w:tab w:val="center" w:pos="4153"/>
        <w:tab w:val="right" w:pos="8306"/>
      </w:tabs>
      <w:snapToGrid w:val="0"/>
      <w:ind w:firstLine="0" w:firstLineChars="0"/>
      <w:jc w:val="left"/>
    </w:pPr>
    <w:rPr>
      <w:rFonts w:asciiTheme="minorHAnsi" w:hAnsiTheme="minorHAnsi" w:eastAsiaTheme="minorEastAsia" w:cstheme="minorBidi"/>
      <w:sz w:val="18"/>
      <w:szCs w:val="18"/>
    </w:rPr>
  </w:style>
  <w:style w:type="paragraph" w:styleId="10">
    <w:name w:val="header"/>
    <w:basedOn w:val="1"/>
    <w:link w:val="21"/>
    <w:autoRedefine/>
    <w:unhideWhenUsed/>
    <w:qFormat/>
    <w:uiPriority w:val="99"/>
    <w:pPr>
      <w:pBdr>
        <w:bottom w:val="single" w:color="auto" w:sz="6" w:space="1"/>
      </w:pBdr>
      <w:tabs>
        <w:tab w:val="center" w:pos="4153"/>
        <w:tab w:val="right" w:pos="8306"/>
      </w:tabs>
      <w:snapToGrid w:val="0"/>
      <w:ind w:firstLine="0" w:firstLineChars="0"/>
      <w:jc w:val="center"/>
    </w:pPr>
    <w:rPr>
      <w:rFonts w:asciiTheme="minorHAnsi" w:hAnsiTheme="minorHAnsi" w:eastAsiaTheme="minorEastAsia" w:cstheme="minorBidi"/>
      <w:sz w:val="18"/>
      <w:szCs w:val="18"/>
    </w:rPr>
  </w:style>
  <w:style w:type="paragraph" w:styleId="11">
    <w:name w:val="toc 1"/>
    <w:basedOn w:val="1"/>
    <w:next w:val="1"/>
    <w:autoRedefine/>
    <w:unhideWhenUsed/>
    <w:qFormat/>
    <w:uiPriority w:val="39"/>
  </w:style>
  <w:style w:type="paragraph" w:styleId="12">
    <w:name w:val="footnote text"/>
    <w:basedOn w:val="1"/>
    <w:link w:val="25"/>
    <w:autoRedefine/>
    <w:semiHidden/>
    <w:unhideWhenUsed/>
    <w:qFormat/>
    <w:uiPriority w:val="99"/>
    <w:pPr>
      <w:snapToGrid w:val="0"/>
      <w:jc w:val="left"/>
    </w:pPr>
    <w:rPr>
      <w:sz w:val="18"/>
      <w:szCs w:val="18"/>
    </w:rPr>
  </w:style>
  <w:style w:type="paragraph" w:styleId="13">
    <w:name w:val="toc 2"/>
    <w:basedOn w:val="1"/>
    <w:next w:val="1"/>
    <w:autoRedefine/>
    <w:unhideWhenUsed/>
    <w:qFormat/>
    <w:uiPriority w:val="39"/>
    <w:pPr>
      <w:ind w:left="420" w:leftChars="200"/>
    </w:pPr>
  </w:style>
  <w:style w:type="paragraph" w:styleId="14">
    <w:name w:val="annotation subject"/>
    <w:basedOn w:val="5"/>
    <w:next w:val="5"/>
    <w:link w:val="31"/>
    <w:autoRedefine/>
    <w:semiHidden/>
    <w:unhideWhenUsed/>
    <w:qFormat/>
    <w:uiPriority w:val="99"/>
    <w:rPr>
      <w:b/>
      <w:bCs/>
    </w:rPr>
  </w:style>
  <w:style w:type="table" w:styleId="16">
    <w:name w:val="Table Grid"/>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styleId="18">
    <w:name w:val="Hyperlink"/>
    <w:basedOn w:val="17"/>
    <w:autoRedefine/>
    <w:unhideWhenUsed/>
    <w:qFormat/>
    <w:uiPriority w:val="99"/>
    <w:rPr>
      <w:color w:val="0563C1" w:themeColor="hyperlink"/>
      <w:u w:val="single"/>
      <w14:textFill>
        <w14:solidFill>
          <w14:schemeClr w14:val="hlink"/>
        </w14:solidFill>
      </w14:textFill>
    </w:rPr>
  </w:style>
  <w:style w:type="character" w:styleId="19">
    <w:name w:val="annotation reference"/>
    <w:basedOn w:val="17"/>
    <w:autoRedefine/>
    <w:semiHidden/>
    <w:unhideWhenUsed/>
    <w:qFormat/>
    <w:uiPriority w:val="99"/>
    <w:rPr>
      <w:sz w:val="21"/>
      <w:szCs w:val="21"/>
    </w:rPr>
  </w:style>
  <w:style w:type="character" w:styleId="20">
    <w:name w:val="footnote reference"/>
    <w:basedOn w:val="17"/>
    <w:autoRedefine/>
    <w:semiHidden/>
    <w:unhideWhenUsed/>
    <w:qFormat/>
    <w:uiPriority w:val="99"/>
    <w:rPr>
      <w:vertAlign w:val="superscript"/>
    </w:rPr>
  </w:style>
  <w:style w:type="character" w:customStyle="1" w:styleId="21">
    <w:name w:val="页眉 Char"/>
    <w:basedOn w:val="17"/>
    <w:link w:val="10"/>
    <w:autoRedefine/>
    <w:qFormat/>
    <w:uiPriority w:val="99"/>
    <w:rPr>
      <w:sz w:val="18"/>
      <w:szCs w:val="18"/>
    </w:rPr>
  </w:style>
  <w:style w:type="character" w:customStyle="1" w:styleId="22">
    <w:name w:val="页脚 Char"/>
    <w:basedOn w:val="17"/>
    <w:link w:val="9"/>
    <w:autoRedefine/>
    <w:qFormat/>
    <w:uiPriority w:val="99"/>
    <w:rPr>
      <w:sz w:val="18"/>
      <w:szCs w:val="18"/>
    </w:rPr>
  </w:style>
  <w:style w:type="character" w:customStyle="1" w:styleId="23">
    <w:name w:val="日期 Char"/>
    <w:basedOn w:val="17"/>
    <w:link w:val="7"/>
    <w:autoRedefine/>
    <w:semiHidden/>
    <w:qFormat/>
    <w:uiPriority w:val="99"/>
    <w:rPr>
      <w:rFonts w:ascii="Calibri" w:hAnsi="Calibri" w:eastAsia="仿宋_GB2312" w:cs="黑体"/>
      <w:sz w:val="28"/>
    </w:rPr>
  </w:style>
  <w:style w:type="character" w:customStyle="1" w:styleId="24">
    <w:name w:val="标题 2 Char"/>
    <w:basedOn w:val="17"/>
    <w:link w:val="3"/>
    <w:autoRedefine/>
    <w:qFormat/>
    <w:uiPriority w:val="9"/>
    <w:rPr>
      <w:rFonts w:asciiTheme="majorHAnsi" w:hAnsiTheme="majorHAnsi" w:eastAsiaTheme="majorEastAsia" w:cstheme="majorBidi"/>
      <w:b/>
      <w:bCs/>
      <w:sz w:val="32"/>
      <w:szCs w:val="32"/>
    </w:rPr>
  </w:style>
  <w:style w:type="character" w:customStyle="1" w:styleId="25">
    <w:name w:val="脚注文本 Char"/>
    <w:basedOn w:val="17"/>
    <w:link w:val="12"/>
    <w:autoRedefine/>
    <w:semiHidden/>
    <w:qFormat/>
    <w:uiPriority w:val="99"/>
    <w:rPr>
      <w:rFonts w:ascii="Calibri" w:hAnsi="Calibri" w:eastAsia="仿宋_GB2312" w:cs="黑体"/>
      <w:sz w:val="18"/>
      <w:szCs w:val="18"/>
    </w:rPr>
  </w:style>
  <w:style w:type="paragraph" w:styleId="26">
    <w:name w:val="List Paragraph"/>
    <w:basedOn w:val="1"/>
    <w:autoRedefine/>
    <w:qFormat/>
    <w:uiPriority w:val="34"/>
    <w:pPr>
      <w:ind w:firstLine="420"/>
    </w:pPr>
  </w:style>
  <w:style w:type="table" w:customStyle="1" w:styleId="27">
    <w:name w:val="网格型1"/>
    <w:basedOn w:val="15"/>
    <w:autoRedefine/>
    <w:qFormat/>
    <w:uiPriority w:val="3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character" w:customStyle="1" w:styleId="28">
    <w:name w:val="标题 1 Char"/>
    <w:basedOn w:val="17"/>
    <w:link w:val="2"/>
    <w:autoRedefine/>
    <w:qFormat/>
    <w:uiPriority w:val="9"/>
    <w:rPr>
      <w:rFonts w:ascii="Calibri" w:hAnsi="Calibri" w:eastAsia="仿宋_GB2312" w:cs="黑体"/>
      <w:b/>
      <w:bCs/>
      <w:kern w:val="44"/>
      <w:sz w:val="44"/>
      <w:szCs w:val="44"/>
    </w:rPr>
  </w:style>
  <w:style w:type="paragraph" w:customStyle="1" w:styleId="29">
    <w:name w:val="TOC Heading"/>
    <w:basedOn w:val="2"/>
    <w:next w:val="1"/>
    <w:autoRedefine/>
    <w:unhideWhenUsed/>
    <w:qFormat/>
    <w:uiPriority w:val="39"/>
    <w:pPr>
      <w:widowControl/>
      <w:spacing w:before="240" w:after="0" w:line="259" w:lineRule="auto"/>
      <w:ind w:firstLine="0" w:firstLineChars="0"/>
      <w:jc w:val="left"/>
      <w:outlineLvl w:val="9"/>
    </w:pPr>
    <w:rPr>
      <w:rFonts w:asciiTheme="majorHAnsi" w:hAnsiTheme="majorHAnsi" w:eastAsiaTheme="majorEastAsia" w:cstheme="majorBidi"/>
      <w:b w:val="0"/>
      <w:bCs w:val="0"/>
      <w:color w:val="2F5597" w:themeColor="accent1" w:themeShade="BF"/>
      <w:kern w:val="0"/>
      <w:sz w:val="32"/>
      <w:szCs w:val="32"/>
    </w:rPr>
  </w:style>
  <w:style w:type="character" w:customStyle="1" w:styleId="30">
    <w:name w:val="批注文字 Char"/>
    <w:basedOn w:val="17"/>
    <w:link w:val="5"/>
    <w:autoRedefine/>
    <w:qFormat/>
    <w:uiPriority w:val="99"/>
    <w:rPr>
      <w:rFonts w:ascii="Calibri" w:hAnsi="Calibri" w:eastAsia="仿宋_GB2312" w:cs="黑体"/>
      <w:sz w:val="28"/>
    </w:rPr>
  </w:style>
  <w:style w:type="character" w:customStyle="1" w:styleId="31">
    <w:name w:val="批注主题 Char"/>
    <w:basedOn w:val="30"/>
    <w:link w:val="14"/>
    <w:autoRedefine/>
    <w:semiHidden/>
    <w:qFormat/>
    <w:uiPriority w:val="99"/>
    <w:rPr>
      <w:rFonts w:ascii="Calibri" w:hAnsi="Calibri" w:eastAsia="仿宋_GB2312" w:cs="黑体"/>
      <w:b/>
      <w:bCs/>
      <w:sz w:val="28"/>
    </w:rPr>
  </w:style>
  <w:style w:type="character" w:customStyle="1" w:styleId="32">
    <w:name w:val="批注框文本 Char"/>
    <w:basedOn w:val="17"/>
    <w:link w:val="8"/>
    <w:autoRedefine/>
    <w:semiHidden/>
    <w:qFormat/>
    <w:uiPriority w:val="99"/>
    <w:rPr>
      <w:rFonts w:ascii="Calibri" w:hAnsi="Calibri" w:eastAsia="仿宋_GB2312" w:cs="黑体"/>
      <w:sz w:val="18"/>
      <w:szCs w:val="18"/>
    </w:rPr>
  </w:style>
  <w:style w:type="character" w:customStyle="1" w:styleId="33">
    <w:name w:val="标题 3 Char"/>
    <w:basedOn w:val="17"/>
    <w:link w:val="4"/>
    <w:autoRedefine/>
    <w:qFormat/>
    <w:uiPriority w:val="9"/>
    <w:rPr>
      <w:rFonts w:ascii="Calibri" w:hAnsi="Calibri" w:eastAsia="仿宋_GB2312" w:cs="黑体"/>
      <w:b/>
      <w:bCs/>
      <w:sz w:val="32"/>
      <w:szCs w:val="32"/>
    </w:rPr>
  </w:style>
</w:styles>
</file>

<file path=word/_rels/document.xml.rels><?xml version="1.0" encoding="UTF-8" standalone="yes"?>
<Relationships xmlns="http://schemas.openxmlformats.org/package/2006/relationships"><Relationship Id="rId9" Type="http://schemas.openxmlformats.org/officeDocument/2006/relationships/footer" Target="footer2.xml"/><Relationship Id="rId8" Type="http://schemas.openxmlformats.org/officeDocument/2006/relationships/footer" Target="footer1.xml"/><Relationship Id="rId7" Type="http://schemas.openxmlformats.org/officeDocument/2006/relationships/header" Target="header3.xml"/><Relationship Id="rId6" Type="http://schemas.openxmlformats.org/officeDocument/2006/relationships/header" Target="header2.xml"/><Relationship Id="rId5" Type="http://schemas.openxmlformats.org/officeDocument/2006/relationships/header" Target="header1.xml"/><Relationship Id="rId4" Type="http://schemas.openxmlformats.org/officeDocument/2006/relationships/endnotes" Target="endnotes.xml"/><Relationship Id="rId3" Type="http://schemas.openxmlformats.org/officeDocument/2006/relationships/footnotes" Target="footnotes.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customXml" Target="../customXml/item1.xml"/><Relationship Id="rId15" Type="http://schemas.openxmlformats.org/officeDocument/2006/relationships/theme" Target="theme/theme1.xml"/><Relationship Id="rId14" Type="http://schemas.openxmlformats.org/officeDocument/2006/relationships/footer" Target="footer5.xml"/><Relationship Id="rId13" Type="http://schemas.openxmlformats.org/officeDocument/2006/relationships/header" Target="header5.xml"/><Relationship Id="rId12" Type="http://schemas.openxmlformats.org/officeDocument/2006/relationships/footer" Target="footer4.xml"/><Relationship Id="rId11" Type="http://schemas.openxmlformats.org/officeDocument/2006/relationships/header" Target="header4.xml"/><Relationship Id="rId10" Type="http://schemas.openxmlformats.org/officeDocument/2006/relationships/footer" Target="footer3.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9DA0CF6-DD1A-4376-8413-2CCF2B668F46}">
  <ds:schemaRefs/>
</ds:datastoreItem>
</file>

<file path=docProps/app.xml><?xml version="1.0" encoding="utf-8"?>
<Properties xmlns="http://schemas.openxmlformats.org/officeDocument/2006/extended-properties" xmlns:vt="http://schemas.openxmlformats.org/officeDocument/2006/docPropsVTypes">
  <Template>Normal</Template>
  <Pages>28</Pages>
  <Words>10479</Words>
  <Characters>10993</Characters>
  <Lines>82</Lines>
  <Paragraphs>23</Paragraphs>
  <TotalTime>32</TotalTime>
  <ScaleCrop>false</ScaleCrop>
  <LinksUpToDate>false</LinksUpToDate>
  <CharactersWithSpaces>11132</CharactersWithSpaces>
  <Application>WPS Office_12.1.0.17827_F1E327BC-269C-435d-A152-05C5408002CA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2024-04-12T07:46:00Z</dcterms:created>
  <dc:creator>张 宇</dc:creator>
  <cp:lastModifiedBy>Administrator</cp:lastModifiedBy>
  <cp:lastPrinted>2023-04-11T02:57:00Z</cp:lastPrinted>
  <dcterms:modified xsi:type="dcterms:W3CDTF">2024-08-16T03:51:44Z</dcterms:modified>
  <cp:revision>9</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2052-12.1.0.17827</vt:lpwstr>
  </property>
  <property fmtid="{D5CDD505-2E9C-101B-9397-08002B2CF9AE}" pid="3" name="ICV">
    <vt:lpwstr>CF2CAE9380AB440E9380CC00501C1705_12</vt:lpwstr>
  </property>
</Properties>
</file>