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 xml:space="preserve">项目名称：京剧院运营费用 </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项目单位：乌鲁木齐市京剧团（新疆京剧团）</w:t>
      </w:r>
      <w:r>
        <w:rPr>
          <w:rFonts w:ascii="仿宋_GB2312" w:hAnsi="Times New Roman" w:cs="Times New Roman"/>
          <w:kern w:val="0"/>
          <w:sz w:val="32"/>
          <w:szCs w:val="32"/>
          <w:lang w:bidi="en-US"/>
        </w:rPr>
        <w:t xml:space="preserve"> </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主管部门：乌鲁木齐市文化和旅游局（乌鲁木齐市文物局）</w:t>
      </w:r>
    </w:p>
    <w:p>
      <w:pPr>
        <w:spacing w:line="480" w:lineRule="auto"/>
        <w:ind w:left="280" w:leftChars="100" w:firstLine="1091" w:firstLineChars="341"/>
        <w:jc w:val="left"/>
        <w:rPr>
          <w:rFonts w:ascii="仿宋_GB2312" w:hAnsi="Times New Roman" w:cs="Times New Roman"/>
          <w:kern w:val="0"/>
          <w:sz w:val="32"/>
          <w:szCs w:val="32"/>
          <w:lang w:bidi="en-US"/>
        </w:rPr>
      </w:pPr>
    </w:p>
    <w:p>
      <w:pPr>
        <w:spacing w:line="480" w:lineRule="auto"/>
        <w:ind w:firstLine="1411" w:firstLineChars="441"/>
        <w:jc w:val="left"/>
        <w:rPr>
          <w:rFonts w:ascii="仿宋_GB2312" w:hAnsi="Times New Roman" w:cs="Times New Roman"/>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pPr>
        <w:spacing w:line="480" w:lineRule="auto"/>
        <w:ind w:firstLine="0" w:firstLineChars="0"/>
        <w:jc w:val="center"/>
        <w:rPr>
          <w:rFonts w:ascii="仿宋_GB2312" w:hAnsi="Times New Roman" w:cs="Times New Roman"/>
          <w:kern w:val="0"/>
          <w:sz w:val="32"/>
          <w:szCs w:val="32"/>
          <w:lang w:bidi="en-US"/>
        </w:rPr>
      </w:pPr>
    </w:p>
    <w:p>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pPr>
        <w:ind w:firstLine="640"/>
        <w:rPr>
          <w:rFonts w:ascii="仿宋_GB2312" w:hAnsi="Times New Roman" w:cs="Times New Roman"/>
          <w:kern w:val="0"/>
          <w:sz w:val="32"/>
          <w:szCs w:val="32"/>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pPr>
            <w:pStyle w:val="30"/>
            <w:ind w:firstLine="560"/>
            <w:jc w:val="center"/>
            <w:rPr>
              <w:color w:val="auto"/>
            </w:rPr>
          </w:pPr>
          <w:r>
            <w:rPr>
              <w:color w:val="auto"/>
              <w:lang w:val="zh-CN"/>
            </w:rPr>
            <w:t>目录</w:t>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9"/>
              <w:rFonts w:hint="eastAsia" w:ascii="仿宋" w:hAnsi="仿宋" w:eastAsia="仿宋"/>
              <w:color w:val="auto"/>
              <w:lang w:bidi="en-US"/>
            </w:rPr>
            <w:t>一、基本情况</w:t>
          </w:r>
          <w:r>
            <w:tab/>
          </w:r>
          <w:r>
            <w:fldChar w:fldCharType="begin"/>
          </w:r>
          <w:r>
            <w:instrText xml:space="preserve"> PAGEREF _Toc165277220 \h </w:instrText>
          </w:r>
          <w:r>
            <w:fldChar w:fldCharType="separate"/>
          </w:r>
          <w:r>
            <w:t>1</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9"/>
              <w:rFonts w:hint="eastAsia" w:ascii="仿宋" w:hAnsi="仿宋" w:eastAsia="仿宋"/>
              <w:color w:val="auto"/>
              <w:lang w:bidi="en-US"/>
            </w:rPr>
            <w:t>（一）项目概况：</w:t>
          </w:r>
          <w:r>
            <w:tab/>
          </w:r>
          <w:r>
            <w:fldChar w:fldCharType="begin"/>
          </w:r>
          <w:r>
            <w:instrText xml:space="preserve"> PAGEREF _Toc165277221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9"/>
              <w:color w:val="auto"/>
            </w:rPr>
            <w:t>1</w:t>
          </w:r>
          <w:r>
            <w:rPr>
              <w:rStyle w:val="19"/>
              <w:rFonts w:hint="eastAsia"/>
              <w:color w:val="auto"/>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9"/>
              <w:color w:val="auto"/>
            </w:rPr>
            <w:t>2.</w:t>
          </w:r>
          <w:r>
            <w:rPr>
              <w:rStyle w:val="19"/>
              <w:rFonts w:hint="eastAsia"/>
              <w:color w:val="auto"/>
            </w:rPr>
            <w:t>资金投入和使用情况</w:t>
          </w:r>
          <w:r>
            <w:tab/>
          </w:r>
          <w:r>
            <w:fldChar w:fldCharType="begin"/>
          </w:r>
          <w:r>
            <w:instrText xml:space="preserve"> PAGEREF _Toc165277223 \h </w:instrText>
          </w:r>
          <w:r>
            <w:fldChar w:fldCharType="separate"/>
          </w:r>
          <w:r>
            <w:t>1</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9"/>
              <w:rFonts w:hint="eastAsia" w:ascii="仿宋" w:hAnsi="仿宋" w:eastAsia="仿宋"/>
              <w:color w:val="auto"/>
              <w:lang w:bidi="en-US"/>
            </w:rPr>
            <w:t>（二）项目绩效目标：</w:t>
          </w:r>
          <w:r>
            <w:tab/>
          </w:r>
          <w:r>
            <w:fldChar w:fldCharType="begin"/>
          </w:r>
          <w:r>
            <w:instrText xml:space="preserve"> PAGEREF _Toc165277224 \h </w:instrText>
          </w:r>
          <w:r>
            <w:fldChar w:fldCharType="separate"/>
          </w:r>
          <w:r>
            <w:t>1</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9"/>
              <w:rFonts w:hint="eastAsia" w:ascii="仿宋" w:hAnsi="仿宋" w:eastAsia="仿宋"/>
              <w:color w:val="auto"/>
              <w:lang w:bidi="en-US"/>
            </w:rPr>
            <w:t>二、绩效评价工作开展情况</w:t>
          </w:r>
          <w:r>
            <w:tab/>
          </w:r>
          <w:r>
            <w:fldChar w:fldCharType="begin"/>
          </w:r>
          <w:r>
            <w:instrText xml:space="preserve"> PAGEREF _Toc165277225 \h </w:instrText>
          </w:r>
          <w:r>
            <w:fldChar w:fldCharType="separate"/>
          </w:r>
          <w:r>
            <w:t>2</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9"/>
              <w:rFonts w:hint="eastAsia" w:ascii="仿宋" w:hAnsi="仿宋" w:eastAsia="仿宋"/>
              <w:color w:val="auto"/>
              <w:lang w:bidi="en-US"/>
            </w:rPr>
            <w:t>（一）绩效评价目的、对象和范围</w:t>
          </w:r>
          <w:r>
            <w:tab/>
          </w:r>
          <w:r>
            <w:fldChar w:fldCharType="begin"/>
          </w:r>
          <w:r>
            <w:instrText xml:space="preserve"> PAGEREF _Toc165277226 \h </w:instrText>
          </w:r>
          <w:r>
            <w:fldChar w:fldCharType="separate"/>
          </w:r>
          <w:r>
            <w:t>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9"/>
              <w:color w:val="auto"/>
            </w:rPr>
            <w:t>1.</w:t>
          </w:r>
          <w:r>
            <w:rPr>
              <w:rStyle w:val="19"/>
              <w:rFonts w:hint="eastAsia"/>
              <w:color w:val="auto"/>
            </w:rPr>
            <w:t>绩效评价完整性</w:t>
          </w:r>
          <w:r>
            <w:tab/>
          </w:r>
          <w:r>
            <w:fldChar w:fldCharType="begin"/>
          </w:r>
          <w:r>
            <w:instrText xml:space="preserve"> PAGEREF _Toc165277227 \h </w:instrText>
          </w:r>
          <w:r>
            <w:fldChar w:fldCharType="separate"/>
          </w:r>
          <w:r>
            <w:t>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9"/>
              <w:color w:val="auto"/>
            </w:rPr>
            <w:t>2.</w:t>
          </w:r>
          <w:r>
            <w:rPr>
              <w:rStyle w:val="19"/>
              <w:rFonts w:hint="eastAsia"/>
              <w:color w:val="auto"/>
            </w:rPr>
            <w:t>评价目的</w:t>
          </w:r>
          <w:r>
            <w:tab/>
          </w:r>
          <w:r>
            <w:fldChar w:fldCharType="begin"/>
          </w:r>
          <w:r>
            <w:instrText xml:space="preserve"> PAGEREF _Toc165277228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9"/>
              <w:color w:val="auto"/>
            </w:rPr>
            <w:t>3.</w:t>
          </w:r>
          <w:r>
            <w:rPr>
              <w:rStyle w:val="19"/>
              <w:rFonts w:hint="eastAsia"/>
              <w:color w:val="auto"/>
            </w:rPr>
            <w:t>评价对象</w:t>
          </w:r>
          <w:r>
            <w:tab/>
          </w:r>
          <w:r>
            <w:fldChar w:fldCharType="begin"/>
          </w:r>
          <w:r>
            <w:instrText xml:space="preserve"> PAGEREF _Toc165277229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9"/>
              <w:color w:val="auto"/>
            </w:rPr>
            <w:t>4.</w:t>
          </w:r>
          <w:r>
            <w:rPr>
              <w:rStyle w:val="19"/>
              <w:rFonts w:hint="eastAsia"/>
              <w:color w:val="auto"/>
            </w:rPr>
            <w:t>绩效评价范围</w:t>
          </w:r>
          <w:r>
            <w:tab/>
          </w:r>
          <w:r>
            <w:fldChar w:fldCharType="begin"/>
          </w:r>
          <w:r>
            <w:instrText xml:space="preserve"> PAGEREF _Toc165277230 \h </w:instrText>
          </w:r>
          <w:r>
            <w:fldChar w:fldCharType="separate"/>
          </w:r>
          <w:r>
            <w:t>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9"/>
              <w:rFonts w:hint="eastAsia" w:ascii="仿宋" w:hAnsi="仿宋" w:eastAsia="仿宋"/>
              <w:color w:val="auto"/>
              <w:lang w:bidi="en-US"/>
            </w:rPr>
            <w:t>（二）绩效评价原则、指标体系、方法及标准</w:t>
          </w:r>
          <w:r>
            <w:tab/>
          </w:r>
          <w:r>
            <w:fldChar w:fldCharType="begin"/>
          </w:r>
          <w:r>
            <w:instrText xml:space="preserve"> PAGEREF _Toc165277231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9"/>
              <w:color w:val="auto"/>
            </w:rPr>
            <w:t>1.</w:t>
          </w:r>
          <w:r>
            <w:rPr>
              <w:rStyle w:val="19"/>
              <w:rFonts w:hint="eastAsia"/>
              <w:color w:val="auto"/>
            </w:rPr>
            <w:t>评价原则</w:t>
          </w:r>
          <w:r>
            <w:tab/>
          </w:r>
          <w:r>
            <w:fldChar w:fldCharType="begin"/>
          </w:r>
          <w:r>
            <w:instrText xml:space="preserve"> PAGEREF _Toc165277232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9"/>
              <w:color w:val="auto"/>
            </w:rPr>
            <w:t>2.</w:t>
          </w:r>
          <w:r>
            <w:rPr>
              <w:rStyle w:val="19"/>
              <w:rFonts w:hint="eastAsia"/>
              <w:color w:val="auto"/>
            </w:rPr>
            <w:t>评价指标体系</w:t>
          </w:r>
          <w:r>
            <w:tab/>
          </w:r>
          <w:r>
            <w:fldChar w:fldCharType="begin"/>
          </w:r>
          <w:r>
            <w:instrText xml:space="preserve"> PAGEREF _Toc165277233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9"/>
              <w:color w:val="auto"/>
            </w:rPr>
            <w:t>3.</w:t>
          </w:r>
          <w:r>
            <w:rPr>
              <w:rStyle w:val="19"/>
              <w:rFonts w:hint="eastAsia"/>
              <w:color w:val="auto"/>
            </w:rPr>
            <w:t>评价方法</w:t>
          </w:r>
          <w:r>
            <w:tab/>
          </w:r>
          <w:r>
            <w:fldChar w:fldCharType="begin"/>
          </w:r>
          <w:r>
            <w:instrText xml:space="preserve"> PAGEREF _Toc165277234 \h </w:instrText>
          </w:r>
          <w:r>
            <w:fldChar w:fldCharType="separate"/>
          </w:r>
          <w:r>
            <w:t>12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9"/>
              <w:color w:val="auto"/>
            </w:rPr>
            <w:t>4.</w:t>
          </w:r>
          <w:r>
            <w:rPr>
              <w:rStyle w:val="19"/>
              <w:rFonts w:hint="eastAsia"/>
              <w:color w:val="auto"/>
            </w:rPr>
            <w:t>评价标准</w:t>
          </w:r>
          <w:r>
            <w:tab/>
          </w:r>
          <w:r>
            <w:fldChar w:fldCharType="begin"/>
          </w:r>
          <w:r>
            <w:instrText xml:space="preserve"> PAGEREF _Toc165277235 \h </w:instrText>
          </w:r>
          <w:r>
            <w:fldChar w:fldCharType="separate"/>
          </w:r>
          <w:r>
            <w:t>13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9"/>
              <w:rFonts w:hint="eastAsia" w:ascii="仿宋" w:hAnsi="仿宋" w:eastAsia="仿宋"/>
              <w:color w:val="auto"/>
              <w:lang w:bidi="en-US"/>
            </w:rPr>
            <w:t>（三）绩效评价工作过程</w:t>
          </w:r>
          <w:r>
            <w:tab/>
          </w:r>
          <w:r>
            <w:fldChar w:fldCharType="begin"/>
          </w:r>
          <w:r>
            <w:instrText xml:space="preserve"> PAGEREF _Toc165277236 \h </w:instrText>
          </w:r>
          <w:r>
            <w:fldChar w:fldCharType="separate"/>
          </w:r>
          <w:r>
            <w:t>13</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9"/>
              <w:rFonts w:hint="eastAsia" w:ascii="仿宋" w:hAnsi="仿宋" w:eastAsia="仿宋"/>
              <w:color w:val="auto"/>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9"/>
              <w:rFonts w:hint="eastAsia" w:ascii="仿宋" w:hAnsi="仿宋" w:eastAsia="仿宋"/>
              <w:color w:val="auto"/>
              <w:lang w:bidi="en-US"/>
            </w:rPr>
            <w:t>（一）评价结论</w:t>
          </w:r>
          <w:r>
            <w:tab/>
          </w:r>
          <w:r>
            <w:fldChar w:fldCharType="begin"/>
          </w:r>
          <w:r>
            <w:instrText xml:space="preserve"> PAGEREF _Toc165277238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9"/>
              <w:rFonts w:hint="eastAsia" w:ascii="仿宋" w:hAnsi="仿宋" w:eastAsia="仿宋"/>
              <w:color w:val="auto"/>
              <w:lang w:bidi="en-US"/>
            </w:rPr>
            <w:t>（二）主要绩效</w:t>
          </w:r>
          <w:r>
            <w:tab/>
          </w:r>
          <w:r>
            <w:fldChar w:fldCharType="begin"/>
          </w:r>
          <w:r>
            <w:instrText xml:space="preserve"> PAGEREF _Toc165277239 \h </w:instrText>
          </w:r>
          <w:r>
            <w:fldChar w:fldCharType="separate"/>
          </w:r>
          <w:r>
            <w:t>15</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9"/>
              <w:rFonts w:hint="eastAsia" w:ascii="仿宋" w:hAnsi="仿宋" w:eastAsia="仿宋"/>
              <w:color w:val="auto"/>
              <w:lang w:bidi="en-US"/>
            </w:rPr>
            <w:t>四、绩效评价指标分析</w:t>
          </w:r>
          <w:r>
            <w:tab/>
          </w:r>
          <w:r>
            <w:fldChar w:fldCharType="begin"/>
          </w:r>
          <w:r>
            <w:instrText xml:space="preserve"> PAGEREF _Toc165277240 \h </w:instrText>
          </w:r>
          <w:r>
            <w:fldChar w:fldCharType="separate"/>
          </w:r>
          <w:r>
            <w:t>15</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9"/>
              <w:rFonts w:hint="eastAsia" w:ascii="仿宋" w:hAnsi="仿宋" w:eastAsia="仿宋"/>
              <w:color w:val="auto"/>
              <w:lang w:bidi="en-US"/>
            </w:rPr>
            <w:t>（一）项目决策情况</w:t>
          </w:r>
          <w:r>
            <w:tab/>
          </w:r>
          <w:r>
            <w:fldChar w:fldCharType="begin"/>
          </w:r>
          <w:r>
            <w:instrText xml:space="preserve"> PAGEREF _Toc165277241 \h </w:instrText>
          </w:r>
          <w:r>
            <w:fldChar w:fldCharType="separate"/>
          </w:r>
          <w:r>
            <w:t>15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9"/>
              <w:color w:val="auto"/>
            </w:rPr>
            <w:t>1.</w:t>
          </w:r>
          <w:r>
            <w:rPr>
              <w:rStyle w:val="19"/>
              <w:rFonts w:hint="eastAsia"/>
              <w:color w:val="auto"/>
            </w:rPr>
            <w:t>项目立项</w:t>
          </w:r>
          <w:r>
            <w:tab/>
          </w:r>
          <w:r>
            <w:fldChar w:fldCharType="begin"/>
          </w:r>
          <w:r>
            <w:instrText xml:space="preserve"> PAGEREF _Toc165277242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9"/>
              <w:color w:val="auto"/>
            </w:rPr>
            <w:t>2.</w:t>
          </w:r>
          <w:r>
            <w:rPr>
              <w:rStyle w:val="19"/>
              <w:rFonts w:hint="eastAsia"/>
              <w:color w:val="auto"/>
            </w:rPr>
            <w:t>绩效目标</w:t>
          </w:r>
          <w:r>
            <w:tab/>
          </w:r>
          <w:r>
            <w:fldChar w:fldCharType="begin"/>
          </w:r>
          <w:r>
            <w:instrText xml:space="preserve"> PAGEREF _Toc165277243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9"/>
              <w:color w:val="auto"/>
            </w:rPr>
            <w:t>3.</w:t>
          </w:r>
          <w:r>
            <w:rPr>
              <w:rStyle w:val="19"/>
              <w:rFonts w:hint="eastAsia"/>
              <w:color w:val="auto"/>
            </w:rPr>
            <w:t>资金投入</w:t>
          </w:r>
          <w:r>
            <w:tab/>
          </w:r>
          <w:r>
            <w:fldChar w:fldCharType="begin"/>
          </w:r>
          <w:r>
            <w:instrText xml:space="preserve"> PAGEREF _Toc165277244 \h </w:instrText>
          </w:r>
          <w:r>
            <w:fldChar w:fldCharType="separate"/>
          </w:r>
          <w:r>
            <w:t>17</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9"/>
              <w:rFonts w:hint="eastAsia" w:ascii="仿宋" w:hAnsi="仿宋" w:eastAsia="仿宋"/>
              <w:color w:val="auto"/>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9"/>
              <w:color w:val="auto"/>
            </w:rPr>
            <w:t>1.</w:t>
          </w:r>
          <w:r>
            <w:rPr>
              <w:rStyle w:val="19"/>
              <w:rFonts w:hint="eastAsia"/>
              <w:color w:val="auto"/>
            </w:rPr>
            <w:t>资金管理</w:t>
          </w:r>
          <w:r>
            <w:tab/>
          </w:r>
          <w:r>
            <w:fldChar w:fldCharType="begin"/>
          </w:r>
          <w:r>
            <w:instrText xml:space="preserve"> PAGEREF _Toc165277246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9"/>
              <w:color w:val="auto"/>
            </w:rPr>
            <w:t>2.</w:t>
          </w:r>
          <w:r>
            <w:rPr>
              <w:rStyle w:val="19"/>
              <w:rFonts w:hint="eastAsia"/>
              <w:color w:val="auto"/>
            </w:rPr>
            <w:t>组织实施</w:t>
          </w:r>
          <w:r>
            <w:tab/>
          </w:r>
          <w:r>
            <w:fldChar w:fldCharType="begin"/>
          </w:r>
          <w:r>
            <w:instrText xml:space="preserve"> PAGEREF _Toc165277247 \h </w:instrText>
          </w:r>
          <w:r>
            <w:fldChar w:fldCharType="separate"/>
          </w:r>
          <w:r>
            <w:t>18</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9"/>
              <w:rFonts w:hint="eastAsia" w:ascii="仿宋" w:hAnsi="仿宋" w:eastAsia="仿宋"/>
              <w:color w:val="auto"/>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9"/>
              <w:color w:val="auto"/>
            </w:rPr>
            <w:t>1.</w:t>
          </w:r>
          <w:r>
            <w:rPr>
              <w:rStyle w:val="19"/>
              <w:rFonts w:hint="eastAsia"/>
              <w:color w:val="auto"/>
            </w:rPr>
            <w:t>产出数量</w:t>
          </w:r>
          <w:r>
            <w:tab/>
          </w:r>
          <w:r>
            <w:fldChar w:fldCharType="begin"/>
          </w:r>
          <w:r>
            <w:instrText xml:space="preserve"> PAGEREF _Toc165277249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9"/>
              <w:color w:val="auto"/>
            </w:rPr>
            <w:t>2.</w:t>
          </w:r>
          <w:r>
            <w:rPr>
              <w:rStyle w:val="19"/>
              <w:rFonts w:hint="eastAsia"/>
              <w:color w:val="auto"/>
            </w:rPr>
            <w:t>产出质量</w:t>
          </w:r>
          <w:r>
            <w:tab/>
          </w:r>
          <w:r>
            <w:fldChar w:fldCharType="begin"/>
          </w:r>
          <w:r>
            <w:instrText xml:space="preserve"> PAGEREF _Toc165277250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9"/>
              <w:color w:val="auto"/>
            </w:rPr>
            <w:t>3.</w:t>
          </w:r>
          <w:r>
            <w:rPr>
              <w:rStyle w:val="19"/>
              <w:rFonts w:hint="eastAsia"/>
              <w:color w:val="auto"/>
            </w:rPr>
            <w:t>产出时效</w:t>
          </w:r>
          <w:r>
            <w:tab/>
          </w:r>
          <w:r>
            <w:fldChar w:fldCharType="begin"/>
          </w:r>
          <w:r>
            <w:instrText xml:space="preserve"> PAGEREF _Toc165277251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9"/>
              <w:color w:val="auto"/>
            </w:rPr>
            <w:t>4.</w:t>
          </w:r>
          <w:r>
            <w:rPr>
              <w:rStyle w:val="19"/>
              <w:rFonts w:hint="eastAsia"/>
              <w:color w:val="auto"/>
            </w:rPr>
            <w:t>产出成本</w:t>
          </w:r>
          <w:r>
            <w:tab/>
          </w:r>
          <w:r>
            <w:fldChar w:fldCharType="begin"/>
          </w:r>
          <w:r>
            <w:instrText xml:space="preserve"> PAGEREF _Toc165277252 \h </w:instrText>
          </w:r>
          <w:r>
            <w:fldChar w:fldCharType="separate"/>
          </w:r>
          <w:r>
            <w:t>19</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9"/>
              <w:rFonts w:hint="eastAsia" w:ascii="仿宋" w:hAnsi="仿宋" w:eastAsia="仿宋"/>
              <w:color w:val="auto"/>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9"/>
              <w:color w:val="auto"/>
            </w:rPr>
            <w:t>1.</w:t>
          </w:r>
          <w:r>
            <w:rPr>
              <w:rStyle w:val="19"/>
              <w:rFonts w:hint="eastAsia"/>
              <w:color w:val="auto"/>
            </w:rPr>
            <w:t>项目效益</w:t>
          </w:r>
          <w:r>
            <w:tab/>
          </w:r>
          <w:r>
            <w:fldChar w:fldCharType="begin"/>
          </w:r>
          <w:r>
            <w:instrText xml:space="preserve"> PAGEREF _Toc165277254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9"/>
              <w:color w:val="auto"/>
            </w:rPr>
            <w:t xml:space="preserve">2. </w:t>
          </w:r>
          <w:r>
            <w:rPr>
              <w:rStyle w:val="19"/>
              <w:rFonts w:hint="eastAsia"/>
              <w:color w:val="auto"/>
            </w:rPr>
            <w:t>满意度指标完成情况分析</w:t>
          </w:r>
          <w:r>
            <w:tab/>
          </w:r>
          <w:r>
            <w:fldChar w:fldCharType="begin"/>
          </w:r>
          <w:r>
            <w:instrText xml:space="preserve"> PAGEREF _Toc165277255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9"/>
              <w:rFonts w:hint="eastAsia" w:ascii="仿宋" w:hAnsi="仿宋" w:eastAsia="仿宋"/>
              <w:color w:val="auto"/>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9"/>
              <w:rFonts w:hint="eastAsia" w:ascii="仿宋" w:hAnsi="仿宋" w:eastAsia="仿宋"/>
              <w:color w:val="auto"/>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9"/>
              <w:rFonts w:hint="eastAsia" w:ascii="仿宋" w:hAnsi="仿宋" w:eastAsia="仿宋"/>
              <w:color w:val="auto"/>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9"/>
              <w:rFonts w:hint="eastAsia" w:ascii="仿宋" w:hAnsi="仿宋" w:eastAsia="仿宋"/>
              <w:color w:val="auto"/>
              <w:lang w:bidi="en-US"/>
            </w:rPr>
            <w:t>六、有关建议</w:t>
          </w:r>
          <w:r>
            <w:tab/>
          </w:r>
          <w:r>
            <w:fldChar w:fldCharType="begin"/>
          </w:r>
          <w:r>
            <w:instrText xml:space="preserve"> PAGEREF _Toc165277259 \h </w:instrText>
          </w:r>
          <w:r>
            <w:fldChar w:fldCharType="separate"/>
          </w:r>
          <w:r>
            <w:t>21</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9"/>
              <w:rFonts w:hint="eastAsia" w:ascii="仿宋" w:hAnsi="仿宋" w:eastAsia="仿宋"/>
              <w:color w:val="auto"/>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pPr>
            <w:ind w:firstLine="562"/>
          </w:pPr>
          <w:r>
            <w:rPr>
              <w:b/>
              <w:bCs/>
              <w:lang w:val="zh-CN"/>
            </w:rPr>
            <w:fldChar w:fldCharType="end"/>
          </w:r>
        </w:p>
      </w:sdtContent>
    </w:sdt>
    <w:p>
      <w:pPr>
        <w:ind w:firstLine="598" w:firstLineChars="187"/>
        <w:rPr>
          <w:rFonts w:ascii="仿宋_GB2312" w:hAnsi="Times New Roman" w:cs="Times New Roman"/>
          <w:sz w:val="32"/>
          <w:szCs w:val="32"/>
          <w:lang w:bidi="en-US"/>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sz w:val="36"/>
          <w:szCs w:val="36"/>
          <w:lang w:bidi="en-US"/>
        </w:rPr>
      </w:pPr>
      <w:bookmarkStart w:id="0" w:name="_Toc67911601"/>
      <w:bookmarkStart w:id="1" w:name="_Toc165277220"/>
      <w:r>
        <w:rPr>
          <w:rFonts w:hint="eastAsia" w:ascii="仿宋" w:hAnsi="仿宋" w:eastAsia="仿宋"/>
          <w:sz w:val="36"/>
          <w:szCs w:val="36"/>
          <w:lang w:bidi="en-US"/>
        </w:rPr>
        <w:t>一、基本情况</w:t>
      </w:r>
      <w:bookmarkEnd w:id="0"/>
      <w:bookmarkEnd w:id="1"/>
    </w:p>
    <w:p>
      <w:pPr>
        <w:pStyle w:val="3"/>
        <w:ind w:firstLine="643"/>
        <w:rPr>
          <w:rFonts w:ascii="仿宋" w:hAnsi="仿宋" w:eastAsia="仿宋"/>
          <w:lang w:bidi="en-US"/>
        </w:rPr>
      </w:pPr>
      <w:bookmarkStart w:id="2" w:name="_Toc165277221"/>
      <w:bookmarkStart w:id="3" w:name="_Toc67911602"/>
      <w:r>
        <w:rPr>
          <w:rFonts w:hint="eastAsia" w:ascii="仿宋" w:hAnsi="仿宋" w:eastAsia="仿宋"/>
          <w:lang w:bidi="en-US"/>
        </w:rPr>
        <w:t>（一）项目概况：</w:t>
      </w:r>
      <w:bookmarkEnd w:id="2"/>
      <w:bookmarkEnd w:id="3"/>
    </w:p>
    <w:p>
      <w:pPr>
        <w:pStyle w:val="4"/>
        <w:ind w:firstLine="643"/>
      </w:pPr>
      <w:bookmarkStart w:id="4" w:name="_Toc165277222"/>
      <w:r>
        <w:rPr>
          <w:rFonts w:hint="eastAsia"/>
        </w:rPr>
        <w:t>1．项目背景、主要内容及实施情况</w:t>
      </w:r>
      <w:bookmarkEnd w:id="4"/>
    </w:p>
    <w:p>
      <w:pPr>
        <w:spacing w:line="360" w:lineRule="auto"/>
        <w:ind w:firstLine="560"/>
        <w:rPr>
          <w:rFonts w:ascii="仿宋_GB2312"/>
        </w:rPr>
      </w:pPr>
      <w:r>
        <w:rPr>
          <w:rFonts w:hint="eastAsia" w:ascii="仿宋_GB2312"/>
        </w:rPr>
        <w:t>该项目实施背景：乌鲁木齐京剧院是首府文化润疆工程的主阵地之一，肩负着传播中华优秀传统文化的重任，此项目包括京剧团的保安保洁费用，对京剧院的运行具有重要的意义。立项依据：市领导批示（103266）号。</w:t>
      </w:r>
    </w:p>
    <w:p>
      <w:pPr>
        <w:spacing w:line="360" w:lineRule="auto"/>
        <w:ind w:firstLine="560"/>
        <w:rPr>
          <w:rFonts w:ascii="仿宋_GB2312"/>
        </w:rPr>
      </w:pPr>
      <w:r>
        <w:rPr>
          <w:rFonts w:hint="eastAsia" w:ascii="仿宋_GB2312"/>
        </w:rPr>
        <w:t>项目2023年的主要实施内容：主要为京剧院的日常维护费用，保证京剧院日常运营。京剧院面积22341.03平方米，每年需通过政府采购第三方，演艺场所，人员密集，需管理人员1人；门岗6人；消防8人；内勤2人；保洁8人；强、弱电工程师4人；水暖工程师2人，；电梯管理员1人；院落绿化2人；共计每月13.54万元，全年合计162.48万元。项目内容即主要包括聘用以上人员的费用。京剧院日常运营。按照国家相关规定要求配备相关人员项目申请依据：《文化行业人员密集场所安全防范规范手册》、《建筑消防设施管理规范》;</w:t>
      </w:r>
    </w:p>
    <w:p>
      <w:pPr>
        <w:spacing w:line="360" w:lineRule="auto"/>
        <w:ind w:firstLine="560"/>
        <w:rPr>
          <w:rFonts w:ascii="仿宋_GB2312"/>
        </w:rPr>
      </w:pPr>
      <w:r>
        <w:rPr>
          <w:rFonts w:hint="eastAsia" w:ascii="仿宋_GB2312"/>
        </w:rPr>
        <w:t>2</w:t>
      </w:r>
      <w:r>
        <w:rPr>
          <w:rFonts w:ascii="仿宋_GB2312"/>
        </w:rPr>
        <w:t>023年当年完成情况</w:t>
      </w:r>
      <w:r>
        <w:rPr>
          <w:rFonts w:hint="eastAsia" w:ascii="仿宋_GB2312"/>
        </w:rPr>
        <w:t>：着装整齐、仪表端正、文明执勤、坚守岗位、工作认真。全年完成工作时间365天，安保消防及物业人员持证上岗率100%，安全事故发生数0起</w:t>
      </w:r>
      <w:r>
        <w:rPr>
          <w:rFonts w:ascii="仿宋_GB2312"/>
        </w:rPr>
        <w:t>。 2。实际完成情况为：</w:t>
      </w:r>
      <w:r>
        <w:rPr>
          <w:rFonts w:hint="eastAsia" w:ascii="仿宋_GB2312"/>
        </w:rPr>
        <w:t>①着装整齐、仪表端正、文明执勤、坚守岗位、工作认真</w:t>
      </w:r>
      <w:r>
        <w:rPr>
          <w:rFonts w:ascii="仿宋_GB2312"/>
        </w:rPr>
        <w:t>;</w:t>
      </w:r>
      <w:r>
        <w:rPr>
          <w:rFonts w:hint="eastAsia" w:ascii="仿宋_GB2312" w:hAnsi="仿宋_GB2312" w:cs="仿宋_GB2312"/>
        </w:rPr>
        <w:t>②全年完成工作时间365天；③</w:t>
      </w:r>
      <w:r>
        <w:rPr>
          <w:rFonts w:hint="eastAsia" w:ascii="仿宋_GB2312"/>
        </w:rPr>
        <w:t>安保消防及物业</w:t>
      </w:r>
      <w:r>
        <w:rPr>
          <w:rFonts w:hint="eastAsia" w:ascii="仿宋_GB2312" w:hAnsi="仿宋_GB2312" w:cs="仿宋_GB2312"/>
        </w:rPr>
        <w:t>人员持证上岗率100%；④安全事故发生数0起。</w:t>
      </w:r>
      <w:r>
        <w:rPr>
          <w:rFonts w:ascii="仿宋_GB2312" w:hAnsi="仿宋_GB2312" w:cs="仿宋_GB2312"/>
        </w:rPr>
        <w:fldChar w:fldCharType="begin"/>
      </w:r>
      <w:r>
        <w:rPr>
          <w:rFonts w:ascii="仿宋_GB2312" w:hAnsi="仿宋_GB2312" w:cs="仿宋_GB2312"/>
        </w:rPr>
        <w:instrText xml:space="preserve"> </w:instrText>
      </w:r>
      <w:r>
        <w:rPr>
          <w:rFonts w:hint="eastAsia" w:ascii="仿宋_GB2312" w:hAnsi="仿宋_GB2312" w:cs="仿宋_GB2312"/>
        </w:rPr>
        <w:instrText xml:space="preserve">= 5 \* GB3</w:instrText>
      </w:r>
      <w:r>
        <w:rPr>
          <w:rFonts w:ascii="仿宋_GB2312" w:hAnsi="仿宋_GB2312" w:cs="仿宋_GB2312"/>
        </w:rPr>
        <w:instrText xml:space="preserve"> </w:instrText>
      </w:r>
      <w:r>
        <w:rPr>
          <w:rFonts w:ascii="仿宋_GB2312" w:hAnsi="仿宋_GB2312" w:cs="仿宋_GB2312"/>
        </w:rPr>
        <w:fldChar w:fldCharType="separate"/>
      </w:r>
      <w:r>
        <w:rPr>
          <w:rFonts w:hint="eastAsia" w:ascii="仿宋_GB2312" w:hAnsi="仿宋_GB2312" w:cs="仿宋_GB2312"/>
        </w:rPr>
        <w:t>⑤</w:t>
      </w:r>
      <w:r>
        <w:rPr>
          <w:rFonts w:ascii="仿宋_GB2312" w:hAnsi="仿宋_GB2312" w:cs="仿宋_GB2312"/>
        </w:rPr>
        <w:fldChar w:fldCharType="end"/>
      </w:r>
      <w:r>
        <w:rPr>
          <w:rFonts w:hint="eastAsia" w:ascii="仿宋_GB2312"/>
        </w:rPr>
        <w:t>项目全年预算237.42万元，资金已支付1</w:t>
      </w:r>
      <w:r>
        <w:rPr>
          <w:rFonts w:ascii="仿宋_GB2312"/>
        </w:rPr>
        <w:t>96.01万元。</w:t>
      </w:r>
    </w:p>
    <w:p>
      <w:pPr>
        <w:pStyle w:val="4"/>
        <w:ind w:firstLine="643"/>
      </w:pPr>
      <w:bookmarkStart w:id="5" w:name="_Toc165277223"/>
      <w:r>
        <w:rPr>
          <w:rFonts w:hint="eastAsia"/>
        </w:rPr>
        <w:t>2</w:t>
      </w:r>
      <w:r>
        <w:t>.资金投入和使用情况</w:t>
      </w:r>
      <w:bookmarkEnd w:id="5"/>
    </w:p>
    <w:p>
      <w:pPr>
        <w:spacing w:line="360" w:lineRule="auto"/>
        <w:ind w:firstLine="560"/>
        <w:rPr>
          <w:rFonts w:ascii="仿宋_GB2312"/>
        </w:rPr>
      </w:pPr>
      <w:r>
        <w:rPr>
          <w:rFonts w:hint="eastAsia" w:ascii="仿宋_GB2312"/>
        </w:rPr>
        <w:t>该项目资金投入情况：经乌财科教【2023】2号文件批准，项目系</w:t>
      </w:r>
      <w:r>
        <w:rPr>
          <w:rFonts w:ascii="仿宋_GB2312"/>
        </w:rPr>
        <w:t>2023</w:t>
      </w:r>
      <w:r>
        <w:rPr>
          <w:rFonts w:hint="eastAsia" w:ascii="仿宋_GB2312"/>
        </w:rPr>
        <w:t>年本级资金，共安排预算237.42万元，于202</w:t>
      </w:r>
      <w:r>
        <w:rPr>
          <w:rFonts w:ascii="仿宋_GB2312"/>
        </w:rPr>
        <w:t>3</w:t>
      </w:r>
      <w:r>
        <w:rPr>
          <w:rFonts w:hint="eastAsia" w:ascii="仿宋_GB2312"/>
        </w:rPr>
        <w:t>年年初部分预算批复项目安排1</w:t>
      </w:r>
      <w:r>
        <w:rPr>
          <w:rFonts w:ascii="仿宋_GB2312"/>
        </w:rPr>
        <w:t>76.4万元</w:t>
      </w:r>
      <w:r>
        <w:rPr>
          <w:rFonts w:hint="eastAsia" w:ascii="仿宋_GB2312"/>
        </w:rPr>
        <w:t>及上年结转项目资金6</w:t>
      </w:r>
      <w:r>
        <w:rPr>
          <w:rFonts w:ascii="仿宋_GB2312"/>
        </w:rPr>
        <w:t>1.02万元</w:t>
      </w:r>
      <w:r>
        <w:rPr>
          <w:rFonts w:hint="eastAsia" w:ascii="仿宋_GB2312"/>
        </w:rPr>
        <w:t>。</w:t>
      </w:r>
    </w:p>
    <w:p>
      <w:pPr>
        <w:spacing w:line="360" w:lineRule="auto"/>
        <w:ind w:firstLine="560"/>
        <w:rPr>
          <w:rFonts w:ascii="仿宋_GB2312"/>
        </w:rPr>
      </w:pPr>
      <w:r>
        <w:rPr>
          <w:rFonts w:hint="eastAsia" w:ascii="仿宋_GB2312"/>
        </w:rPr>
        <w:t>该项目资金使用情况：该项目全年总预算237.42万元、资金主要用于聘用安保、消防及物业服务人员费用，全年执行196.01万元，预算执行率82.56%。</w:t>
      </w:r>
    </w:p>
    <w:p>
      <w:pPr>
        <w:pStyle w:val="3"/>
        <w:ind w:firstLine="643"/>
        <w:rPr>
          <w:rFonts w:ascii="仿宋" w:hAnsi="仿宋" w:eastAsia="仿宋"/>
          <w:lang w:bidi="en-US"/>
        </w:rPr>
      </w:pPr>
      <w:bookmarkStart w:id="6" w:name="_Toc67911603"/>
      <w:bookmarkStart w:id="7" w:name="_Toc165277224"/>
      <w:r>
        <w:rPr>
          <w:rFonts w:hint="eastAsia" w:ascii="仿宋" w:hAnsi="仿宋" w:eastAsia="仿宋"/>
          <w:lang w:bidi="en-US"/>
        </w:rPr>
        <w:t>（二）项目绩效目标：</w:t>
      </w:r>
      <w:bookmarkEnd w:id="6"/>
      <w:bookmarkEnd w:id="7"/>
    </w:p>
    <w:p>
      <w:pPr>
        <w:spacing w:line="360" w:lineRule="auto"/>
        <w:ind w:firstLine="560"/>
        <w:rPr>
          <w:rFonts w:ascii="仿宋_GB2312" w:hAnsi="仿宋"/>
          <w:szCs w:val="28"/>
        </w:rPr>
      </w:pPr>
      <w:r>
        <w:rPr>
          <w:rFonts w:hint="eastAsia" w:ascii="仿宋_GB2312" w:hAnsi="仿宋"/>
          <w:szCs w:val="28"/>
        </w:rPr>
        <w:t>本项目依据《中共中央 国务院关于全面实施预算绩效管理的意见》（中发〔2018〕</w:t>
      </w:r>
      <w:r>
        <w:rPr>
          <w:rFonts w:ascii="仿宋_GB2312" w:hAnsi="仿宋"/>
          <w:szCs w:val="28"/>
        </w:rPr>
        <w:t>34</w:t>
      </w:r>
      <w:r>
        <w:rPr>
          <w:rFonts w:hint="eastAsia" w:ascii="仿宋_GB2312" w:hAnsi="仿宋"/>
          <w:szCs w:val="28"/>
        </w:rPr>
        <w:t>号）、《关于印发&lt;乌鲁木齐市本级部门预算绩效目标管理暂行办法</w:t>
      </w:r>
      <w:r>
        <w:rPr>
          <w:rFonts w:ascii="仿宋_GB2312" w:hAnsi="仿宋"/>
          <w:szCs w:val="28"/>
        </w:rPr>
        <w:t>&gt;</w:t>
      </w:r>
      <w:r>
        <w:rPr>
          <w:rFonts w:hint="eastAsia" w:ascii="仿宋_GB2312" w:hAnsi="仿宋"/>
          <w:szCs w:val="28"/>
        </w:rPr>
        <w:t>的通知》（乌财预</w:t>
      </w:r>
      <w:bookmarkStart w:id="8" w:name="_Hlk67566397"/>
      <w:r>
        <w:rPr>
          <w:rFonts w:hint="eastAsia" w:ascii="仿宋_GB2312" w:hAnsi="仿宋"/>
          <w:szCs w:val="28"/>
        </w:rPr>
        <w:t>〔2018〕</w:t>
      </w:r>
      <w:r>
        <w:rPr>
          <w:rFonts w:ascii="仿宋_GB2312" w:hAnsi="仿宋"/>
          <w:szCs w:val="28"/>
        </w:rPr>
        <w:t>5</w:t>
      </w:r>
      <w:r>
        <w:rPr>
          <w:rFonts w:hint="eastAsia" w:ascii="仿宋_GB2312" w:hAnsi="仿宋"/>
          <w:szCs w:val="28"/>
        </w:rPr>
        <w:t>6号</w:t>
      </w:r>
      <w:bookmarkEnd w:id="8"/>
      <w:r>
        <w:rPr>
          <w:rFonts w:hint="eastAsia" w:ascii="仿宋_GB2312" w:hAnsi="仿宋"/>
          <w:szCs w:val="28"/>
        </w:rPr>
        <w:t>）、《关于做好2</w:t>
      </w:r>
      <w:r>
        <w:rPr>
          <w:rFonts w:ascii="仿宋_GB2312" w:hAnsi="仿宋"/>
          <w:szCs w:val="28"/>
        </w:rPr>
        <w:t>019</w:t>
      </w:r>
      <w:r>
        <w:rPr>
          <w:rFonts w:hint="eastAsia" w:ascii="仿宋_GB2312" w:hAnsi="仿宋"/>
          <w:szCs w:val="28"/>
        </w:rPr>
        <w:t>年部门预算项目支出绩效目标管理有关事宜的通知》（乌财预〔20</w:t>
      </w:r>
      <w:r>
        <w:rPr>
          <w:rFonts w:ascii="仿宋_GB2312" w:hAnsi="仿宋"/>
          <w:szCs w:val="28"/>
        </w:rPr>
        <w:t>18</w:t>
      </w:r>
      <w:r>
        <w:rPr>
          <w:rFonts w:hint="eastAsia" w:ascii="仿宋_GB2312" w:hAnsi="仿宋"/>
          <w:szCs w:val="28"/>
        </w:rPr>
        <w:t>〕</w:t>
      </w:r>
      <w:r>
        <w:rPr>
          <w:rFonts w:ascii="仿宋_GB2312" w:hAnsi="仿宋"/>
          <w:szCs w:val="28"/>
        </w:rPr>
        <w:t>76</w:t>
      </w:r>
      <w:r>
        <w:rPr>
          <w:rFonts w:hint="eastAsia" w:ascii="仿宋_GB2312" w:hAnsi="仿宋"/>
          <w:szCs w:val="28"/>
        </w:rPr>
        <w:t>号）和《项目支出绩效评价管理办法》（财预〔20</w:t>
      </w:r>
      <w:r>
        <w:rPr>
          <w:rFonts w:ascii="仿宋_GB2312" w:hAnsi="仿宋"/>
          <w:szCs w:val="28"/>
        </w:rPr>
        <w:t>20</w:t>
      </w:r>
      <w:r>
        <w:rPr>
          <w:rFonts w:hint="eastAsia" w:ascii="仿宋_GB2312" w:hAnsi="仿宋"/>
          <w:szCs w:val="28"/>
        </w:rPr>
        <w:t>〕</w:t>
      </w:r>
      <w:r>
        <w:rPr>
          <w:rFonts w:ascii="仿宋_GB2312" w:hAnsi="仿宋"/>
          <w:szCs w:val="28"/>
        </w:rPr>
        <w:t>10</w:t>
      </w:r>
      <w:r>
        <w:rPr>
          <w:rFonts w:hint="eastAsia" w:ascii="仿宋_GB2312" w:hAnsi="仿宋"/>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szCs w:val="28"/>
        </w:rPr>
      </w:pPr>
      <w:r>
        <w:rPr>
          <w:rFonts w:hint="eastAsia" w:ascii="仿宋_GB2312" w:hAnsi="仿宋"/>
          <w:szCs w:val="28"/>
        </w:rPr>
        <w:t>该项目</w:t>
      </w:r>
      <w:r>
        <w:rPr>
          <w:rFonts w:ascii="仿宋_GB2312" w:hAnsi="仿宋"/>
          <w:szCs w:val="28"/>
        </w:rPr>
        <w:t>为经常性项目。</w:t>
      </w:r>
    </w:p>
    <w:p>
      <w:pPr>
        <w:spacing w:line="360" w:lineRule="auto"/>
        <w:ind w:firstLine="560"/>
        <w:rPr>
          <w:rFonts w:ascii="仿宋_GB2312" w:hAnsi="仿宋"/>
          <w:szCs w:val="28"/>
        </w:rPr>
      </w:pPr>
      <w:bookmarkStart w:id="9" w:name="_Toc165277225"/>
      <w:bookmarkStart w:id="10" w:name="_Toc67911604"/>
      <w:r>
        <w:rPr>
          <w:rFonts w:hint="eastAsia" w:ascii="仿宋_GB2312" w:hAnsi="仿宋"/>
          <w:szCs w:val="28"/>
        </w:rPr>
        <w:t>该项目总体绩效目标：根据</w:t>
      </w:r>
      <w:r>
        <w:rPr>
          <w:rFonts w:hint="eastAsia" w:ascii="仿宋_GB2312"/>
        </w:rPr>
        <w:t>《文化行业人员密集场所安全防范规范手册》</w:t>
      </w:r>
      <w:r>
        <w:rPr>
          <w:rFonts w:hint="eastAsia" w:ascii="仿宋_GB2312" w:hAnsi="仿宋"/>
          <w:szCs w:val="28"/>
        </w:rPr>
        <w:t>，市京剧团作为公共文化对外服务场所，安全防范措施必须按要求落实到位，同时聘用</w:t>
      </w:r>
      <w:r>
        <w:rPr>
          <w:rFonts w:hint="eastAsia" w:ascii="仿宋_GB2312"/>
        </w:rPr>
        <w:t>管理人员1人；门岗6人；消防8人；内勤2人；保洁8人；强、弱电工程师4人；水暖工程师2人，；电梯管理员1人；院落绿化2人</w:t>
      </w:r>
      <w:r>
        <w:rPr>
          <w:rFonts w:hint="eastAsia" w:ascii="仿宋_GB2312" w:hAnsi="仿宋"/>
          <w:szCs w:val="28"/>
        </w:rPr>
        <w:t>，年龄55岁以下，具备较强的责任心及岗位所需的技能。着装整齐、仪表端正、文明执勤、坚守岗位、工作认真。全年完成工作时间365天，安保消防及物业人员持证上岗率100%，安全事故发生数0起。</w:t>
      </w:r>
    </w:p>
    <w:p>
      <w:pPr>
        <w:spacing w:line="360" w:lineRule="auto"/>
        <w:ind w:firstLine="560"/>
        <w:rPr>
          <w:rFonts w:hint="eastAsia" w:ascii="仿宋_GB2312"/>
        </w:rPr>
      </w:pPr>
      <w:r>
        <w:rPr>
          <w:rFonts w:ascii="仿宋_GB2312" w:hAnsi="仿宋"/>
          <w:szCs w:val="28"/>
        </w:rPr>
        <w:t>该项目阶段性目标为：</w:t>
      </w:r>
      <w:r>
        <w:rPr>
          <w:rFonts w:hint="eastAsia" w:ascii="仿宋_GB2312" w:hAnsi="仿宋"/>
          <w:szCs w:val="28"/>
        </w:rPr>
        <w:t>在2</w:t>
      </w:r>
      <w:r>
        <w:rPr>
          <w:rFonts w:ascii="仿宋_GB2312" w:hAnsi="仿宋"/>
          <w:szCs w:val="28"/>
        </w:rPr>
        <w:t>023年</w:t>
      </w:r>
      <w:r>
        <w:rPr>
          <w:rFonts w:hint="eastAsia" w:ascii="仿宋_GB2312" w:hAnsi="仿宋"/>
          <w:szCs w:val="28"/>
        </w:rPr>
        <w:t>计划完成</w:t>
      </w:r>
      <w:r>
        <w:rPr>
          <w:rFonts w:hint="eastAsia" w:ascii="仿宋_GB2312"/>
        </w:rPr>
        <w:t>着装整齐、仪表端正、文明执勤、坚守岗位、工作认真。全年完成工作时间365天，</w:t>
      </w:r>
      <w:r>
        <w:rPr>
          <w:rFonts w:hint="eastAsia" w:ascii="仿宋_GB2312" w:hAnsi="仿宋"/>
          <w:szCs w:val="28"/>
        </w:rPr>
        <w:t>安保消防及物业</w:t>
      </w:r>
      <w:r>
        <w:rPr>
          <w:rFonts w:hint="eastAsia" w:ascii="仿宋_GB2312"/>
        </w:rPr>
        <w:t>人员持证上岗率100%，安全事故发生数0起</w:t>
      </w:r>
      <w:r>
        <w:rPr>
          <w:rFonts w:hint="eastAsia" w:ascii="仿宋_GB2312" w:hAnsi="仿宋"/>
          <w:szCs w:val="28"/>
        </w:rPr>
        <w:t>。</w:t>
      </w:r>
      <w:r>
        <w:rPr>
          <w:rFonts w:hint="eastAsia" w:ascii="仿宋_GB2312"/>
        </w:rPr>
        <w:t>项目全年预算237.42万元，资金已支付1</w:t>
      </w:r>
      <w:r>
        <w:rPr>
          <w:rFonts w:ascii="仿宋_GB2312"/>
        </w:rPr>
        <w:t>96.01万元。</w:t>
      </w:r>
    </w:p>
    <w:p>
      <w:pPr>
        <w:pStyle w:val="2"/>
        <w:ind w:firstLine="0" w:firstLineChars="0"/>
        <w:jc w:val="left"/>
        <w:rPr>
          <w:rFonts w:ascii="仿宋" w:hAnsi="仿宋" w:eastAsia="仿宋"/>
          <w:sz w:val="36"/>
          <w:szCs w:val="36"/>
          <w:lang w:bidi="en-US"/>
        </w:rPr>
      </w:pPr>
      <w:r>
        <w:rPr>
          <w:rFonts w:hint="eastAsia" w:ascii="仿宋" w:hAnsi="仿宋" w:eastAsia="仿宋"/>
          <w:sz w:val="36"/>
          <w:szCs w:val="36"/>
          <w:lang w:bidi="en-US"/>
        </w:rPr>
        <w:t>二、绩效评价工作开展情况</w:t>
      </w:r>
      <w:bookmarkEnd w:id="9"/>
      <w:bookmarkEnd w:id="10"/>
    </w:p>
    <w:p>
      <w:pPr>
        <w:pStyle w:val="3"/>
        <w:ind w:firstLine="643"/>
        <w:rPr>
          <w:rFonts w:ascii="仿宋" w:hAnsi="仿宋" w:eastAsia="仿宋"/>
          <w:lang w:bidi="en-US"/>
        </w:rPr>
      </w:pPr>
      <w:bookmarkStart w:id="11" w:name="_Toc67911605"/>
      <w:bookmarkStart w:id="12" w:name="_Toc165277226"/>
      <w:r>
        <w:rPr>
          <w:rFonts w:hint="eastAsia" w:ascii="仿宋" w:hAnsi="仿宋" w:eastAsia="仿宋"/>
          <w:lang w:bidi="en-US"/>
        </w:rPr>
        <w:t>（一）绩效评价目的、对象和范围</w:t>
      </w:r>
      <w:bookmarkEnd w:id="11"/>
      <w:bookmarkEnd w:id="12"/>
    </w:p>
    <w:p>
      <w:pPr>
        <w:pStyle w:val="4"/>
        <w:ind w:firstLine="643"/>
      </w:pPr>
      <w:bookmarkStart w:id="13" w:name="_Toc165277227"/>
      <w:r>
        <w:rPr>
          <w:rFonts w:hint="eastAsia"/>
        </w:rPr>
        <w:t>1</w:t>
      </w:r>
      <w:r>
        <w:t>.绩效评价完整性</w:t>
      </w:r>
      <w:bookmarkEnd w:id="13"/>
    </w:p>
    <w:p>
      <w:pPr>
        <w:spacing w:line="360" w:lineRule="auto"/>
        <w:ind w:firstLine="560"/>
        <w:rPr>
          <w:rFonts w:ascii="仿宋_GB2312" w:hAnsi="仿宋"/>
          <w:szCs w:val="28"/>
        </w:rPr>
      </w:pPr>
      <w:r>
        <w:rPr>
          <w:rFonts w:hint="eastAsia" w:ascii="仿宋_GB2312" w:hAnsi="仿宋"/>
          <w:szCs w:val="28"/>
        </w:rPr>
        <w:t>首先，京剧院运营经费项目共设置四个一级指标：产出指标、成本指标、效益指标</w:t>
      </w:r>
      <w:bookmarkStart w:id="64" w:name="_GoBack"/>
      <w:bookmarkEnd w:id="64"/>
      <w:r>
        <w:rPr>
          <w:rFonts w:hint="eastAsia" w:ascii="仿宋_GB2312" w:hAnsi="仿宋"/>
          <w:szCs w:val="28"/>
        </w:rPr>
        <w:t>及满意度指标，绩效目标范围和要求能够通过绩效评价指标体系完整地体现。</w:t>
      </w:r>
    </w:p>
    <w:p>
      <w:pPr>
        <w:spacing w:line="360" w:lineRule="auto"/>
        <w:ind w:firstLine="560"/>
        <w:rPr>
          <w:rFonts w:ascii="仿宋_GB2312" w:hAnsi="仿宋"/>
          <w:szCs w:val="28"/>
        </w:rPr>
      </w:pPr>
      <w:r>
        <w:rPr>
          <w:rFonts w:ascii="仿宋_GB2312" w:hAnsi="仿宋"/>
          <w:szCs w:val="28"/>
        </w:rPr>
        <w:t>其次</w:t>
      </w:r>
      <w:r>
        <w:rPr>
          <w:rFonts w:hint="eastAsia" w:ascii="仿宋_GB2312" w:hAnsi="仿宋"/>
          <w:szCs w:val="28"/>
        </w:rPr>
        <w:t>，项目于2</w:t>
      </w:r>
      <w:r>
        <w:rPr>
          <w:rFonts w:ascii="仿宋_GB2312" w:hAnsi="仿宋"/>
          <w:szCs w:val="28"/>
        </w:rPr>
        <w:t>023年</w:t>
      </w:r>
      <w:r>
        <w:rPr>
          <w:rFonts w:hint="eastAsia" w:ascii="仿宋_GB2312" w:hAnsi="仿宋"/>
          <w:szCs w:val="28"/>
        </w:rPr>
        <w:t>2月</w:t>
      </w:r>
      <w:r>
        <w:rPr>
          <w:rFonts w:ascii="仿宋_GB2312" w:hAnsi="仿宋"/>
          <w:szCs w:val="28"/>
        </w:rPr>
        <w:t>16 日完成招标采购，根据合同要求，</w:t>
      </w:r>
      <w:r>
        <w:rPr>
          <w:rFonts w:hint="eastAsia" w:ascii="仿宋_GB2312" w:hAnsi="仿宋"/>
          <w:szCs w:val="28"/>
        </w:rPr>
        <w:t>合同服务期限为一年，即2</w:t>
      </w:r>
      <w:r>
        <w:rPr>
          <w:rFonts w:ascii="仿宋_GB2312" w:hAnsi="仿宋"/>
          <w:szCs w:val="28"/>
        </w:rPr>
        <w:t>023年</w:t>
      </w:r>
      <w:r>
        <w:rPr>
          <w:rFonts w:hint="eastAsia" w:ascii="仿宋_GB2312" w:hAnsi="仿宋"/>
          <w:szCs w:val="28"/>
        </w:rPr>
        <w:t>3月1日至2</w:t>
      </w:r>
      <w:r>
        <w:rPr>
          <w:rFonts w:ascii="仿宋_GB2312" w:hAnsi="仿宋"/>
          <w:szCs w:val="28"/>
        </w:rPr>
        <w:t>024年</w:t>
      </w:r>
      <w:r>
        <w:rPr>
          <w:rFonts w:hint="eastAsia" w:ascii="仿宋_GB2312" w:hAnsi="仿宋"/>
          <w:szCs w:val="28"/>
        </w:rPr>
        <w:t>2月2</w:t>
      </w:r>
      <w:r>
        <w:rPr>
          <w:rFonts w:ascii="仿宋_GB2312" w:hAnsi="仿宋"/>
          <w:szCs w:val="28"/>
        </w:rPr>
        <w:t>9日，计划按月付款，每月支付</w:t>
      </w:r>
      <w:r>
        <w:rPr>
          <w:rFonts w:hint="eastAsia" w:ascii="仿宋_GB2312" w:hAnsi="仿宋"/>
          <w:szCs w:val="28"/>
        </w:rPr>
        <w:t>1</w:t>
      </w:r>
      <w:r>
        <w:rPr>
          <w:rFonts w:ascii="仿宋_GB2312" w:hAnsi="仿宋"/>
          <w:szCs w:val="28"/>
        </w:rPr>
        <w:t>3</w:t>
      </w:r>
      <w:r>
        <w:rPr>
          <w:rFonts w:hint="eastAsia" w:ascii="仿宋_GB2312" w:hAnsi="仿宋"/>
          <w:szCs w:val="28"/>
        </w:rPr>
        <w:t>.5</w:t>
      </w:r>
      <w:r>
        <w:rPr>
          <w:rFonts w:ascii="仿宋_GB2312" w:hAnsi="仿宋"/>
          <w:szCs w:val="28"/>
        </w:rPr>
        <w:t>4万元，</w:t>
      </w:r>
      <w:r>
        <w:rPr>
          <w:rFonts w:hint="eastAsia" w:ascii="仿宋_GB2312" w:hAnsi="仿宋"/>
          <w:szCs w:val="28"/>
        </w:rPr>
        <w:t>截至2</w:t>
      </w:r>
      <w:r>
        <w:rPr>
          <w:rFonts w:ascii="仿宋_GB2312" w:hAnsi="仿宋"/>
          <w:szCs w:val="28"/>
        </w:rPr>
        <w:t>023年</w:t>
      </w:r>
      <w:r>
        <w:rPr>
          <w:rFonts w:hint="eastAsia" w:ascii="仿宋_GB2312" w:hAnsi="仿宋"/>
          <w:szCs w:val="28"/>
        </w:rPr>
        <w:t>1</w:t>
      </w:r>
      <w:r>
        <w:rPr>
          <w:rFonts w:ascii="仿宋_GB2312" w:hAnsi="仿宋"/>
          <w:szCs w:val="28"/>
        </w:rPr>
        <w:t>2月</w:t>
      </w:r>
      <w:r>
        <w:rPr>
          <w:rFonts w:hint="eastAsia" w:ascii="仿宋_GB2312" w:hAnsi="仿宋"/>
          <w:szCs w:val="28"/>
        </w:rPr>
        <w:t>3</w:t>
      </w:r>
      <w:r>
        <w:rPr>
          <w:rFonts w:ascii="仿宋_GB2312" w:hAnsi="仿宋"/>
          <w:szCs w:val="28"/>
        </w:rPr>
        <w:t>1日根据合同要求，已完成支付</w:t>
      </w:r>
      <w:r>
        <w:rPr>
          <w:rFonts w:hint="eastAsia" w:ascii="仿宋_GB2312" w:hAnsi="仿宋"/>
          <w:szCs w:val="28"/>
        </w:rPr>
        <w:t>。</w:t>
      </w:r>
    </w:p>
    <w:p>
      <w:pPr>
        <w:spacing w:line="360" w:lineRule="auto"/>
        <w:ind w:firstLine="560"/>
        <w:rPr>
          <w:rFonts w:ascii="仿宋_GB2312" w:hAnsi="仿宋"/>
          <w:szCs w:val="28"/>
        </w:rPr>
      </w:pPr>
      <w:r>
        <w:rPr>
          <w:rFonts w:hint="eastAsia" w:ascii="仿宋_GB2312" w:hAnsi="仿宋"/>
          <w:szCs w:val="28"/>
        </w:rPr>
        <w:t>最后，评价数据是根据签订的合同、中标通知书、发票，国库集中支付单已确保数据的准确性和完整性。</w:t>
      </w:r>
    </w:p>
    <w:p>
      <w:pPr>
        <w:pStyle w:val="4"/>
        <w:ind w:firstLine="643"/>
      </w:pPr>
      <w:bookmarkStart w:id="14" w:name="_Toc165277228"/>
      <w:r>
        <w:t>2</w:t>
      </w:r>
      <w:r>
        <w:rPr>
          <w:rFonts w:hint="eastAsia"/>
        </w:rPr>
        <w:t>.评价目的</w:t>
      </w:r>
      <w:bookmarkEnd w:id="14"/>
    </w:p>
    <w:p>
      <w:pPr>
        <w:spacing w:line="360" w:lineRule="auto"/>
        <w:ind w:firstLine="560"/>
        <w:rPr>
          <w:rFonts w:ascii="仿宋_GB2312"/>
          <w:b/>
          <w:bCs/>
        </w:rPr>
      </w:pPr>
      <w:r>
        <w:rPr>
          <w:rFonts w:hint="eastAsia" w:ascii="仿宋_GB231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京剧院运营经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pPr>
      <w:bookmarkStart w:id="15" w:name="_Toc165277229"/>
      <w:r>
        <w:t>3</w:t>
      </w:r>
      <w:r>
        <w:rPr>
          <w:rFonts w:hint="eastAsia"/>
        </w:rPr>
        <w:t>.评价对象</w:t>
      </w:r>
      <w:bookmarkEnd w:id="15"/>
    </w:p>
    <w:p>
      <w:pPr>
        <w:spacing w:line="360" w:lineRule="auto"/>
        <w:ind w:firstLine="560"/>
        <w:rPr>
          <w:rFonts w:ascii="仿宋_GB2312"/>
        </w:rPr>
      </w:pPr>
      <w:r>
        <w:rPr>
          <w:rFonts w:hint="eastAsia" w:ascii="仿宋_GB2312"/>
        </w:rPr>
        <w:t>（1）绩效评价的对象：京剧院运营经费项目</w:t>
      </w:r>
      <w:r>
        <w:rPr>
          <w:rFonts w:ascii="仿宋_GB2312"/>
        </w:rPr>
        <w:t xml:space="preserve"> </w:t>
      </w:r>
    </w:p>
    <w:p>
      <w:pPr>
        <w:pStyle w:val="4"/>
        <w:ind w:firstLine="643"/>
      </w:pPr>
      <w:bookmarkStart w:id="16" w:name="_Toc165277230"/>
      <w:r>
        <w:rPr>
          <w:rFonts w:hint="eastAsia"/>
        </w:rPr>
        <w:t>4</w:t>
      </w:r>
      <w:r>
        <w:t>.</w:t>
      </w:r>
      <w:r>
        <w:rPr>
          <w:rFonts w:hint="eastAsia"/>
        </w:rPr>
        <w:t>绩效评价范围</w:t>
      </w:r>
      <w:bookmarkEnd w:id="16"/>
    </w:p>
    <w:p>
      <w:pPr>
        <w:spacing w:line="360" w:lineRule="auto"/>
        <w:ind w:firstLine="560"/>
        <w:rPr>
          <w:rFonts w:ascii="仿宋_GB2312"/>
        </w:rPr>
      </w:pPr>
      <w:r>
        <w:rPr>
          <w:rFonts w:ascii="仿宋_GB2312"/>
        </w:rPr>
        <w:t>1.</w:t>
      </w:r>
      <w:r>
        <w:rPr>
          <w:rFonts w:hint="eastAsia" w:ascii="仿宋_GB2312"/>
        </w:rPr>
        <w:t>时间范围：2</w:t>
      </w:r>
      <w:r>
        <w:rPr>
          <w:rFonts w:ascii="仿宋_GB2312"/>
        </w:rPr>
        <w:t>023</w:t>
      </w:r>
      <w:r>
        <w:rPr>
          <w:rFonts w:hint="eastAsia" w:ascii="仿宋_GB2312"/>
        </w:rPr>
        <w:t>年1月1日至2</w:t>
      </w:r>
      <w:r>
        <w:rPr>
          <w:rFonts w:ascii="仿宋_GB2312"/>
        </w:rPr>
        <w:t>023</w:t>
      </w:r>
      <w:r>
        <w:rPr>
          <w:rFonts w:hint="eastAsia" w:ascii="仿宋_GB2312"/>
        </w:rPr>
        <w:t>年1</w:t>
      </w:r>
      <w:r>
        <w:rPr>
          <w:rFonts w:ascii="仿宋_GB2312"/>
        </w:rPr>
        <w:t>2</w:t>
      </w:r>
      <w:r>
        <w:rPr>
          <w:rFonts w:hint="eastAsia" w:ascii="仿宋_GB2312"/>
        </w:rPr>
        <w:t>月3</w:t>
      </w:r>
      <w:r>
        <w:rPr>
          <w:rFonts w:ascii="仿宋_GB2312"/>
        </w:rPr>
        <w:t>1</w:t>
      </w:r>
      <w:r>
        <w:rPr>
          <w:rFonts w:hint="eastAsia" w:ascii="仿宋_GB2312"/>
        </w:rPr>
        <w:t>日。</w:t>
      </w:r>
    </w:p>
    <w:p>
      <w:pPr>
        <w:spacing w:line="360" w:lineRule="auto"/>
        <w:ind w:firstLine="560"/>
        <w:rPr>
          <w:rStyle w:val="20"/>
          <w:rFonts w:hint="eastAsia" w:ascii="仿宋_GB2312"/>
          <w:sz w:val="28"/>
          <w:szCs w:val="28"/>
        </w:rPr>
      </w:pPr>
      <w:r>
        <w:rPr>
          <w:rFonts w:ascii="仿宋_GB2312"/>
        </w:rPr>
        <w:t>2.</w:t>
      </w:r>
      <w:r>
        <w:rPr>
          <w:rFonts w:hint="eastAsia" w:ascii="仿宋_GB2312"/>
        </w:rPr>
        <w:t>项目范围：京剧院运营经费项目，</w:t>
      </w:r>
      <w:r>
        <w:rPr>
          <w:rFonts w:hint="eastAsia" w:ascii="仿宋_GB2312" w:hAnsi="仿宋"/>
          <w:szCs w:val="28"/>
        </w:rPr>
        <w:t>根据</w:t>
      </w:r>
      <w:r>
        <w:rPr>
          <w:rFonts w:hint="eastAsia" w:ascii="仿宋_GB2312"/>
        </w:rPr>
        <w:t>《文化行业人员密集场所安全防范规范手册》</w:t>
      </w:r>
      <w:r>
        <w:rPr>
          <w:rFonts w:hint="eastAsia" w:ascii="仿宋_GB2312" w:hAnsi="仿宋"/>
          <w:szCs w:val="28"/>
        </w:rPr>
        <w:t>，市京剧团作为公共文化对外服务场所，安全防范措施必须按要求落实到位，通过招标采购第三方公司提供</w:t>
      </w:r>
      <w:r>
        <w:rPr>
          <w:rFonts w:hint="eastAsia" w:ascii="仿宋_GB2312"/>
        </w:rPr>
        <w:t>管理人员1人；门岗6人；消防8人；内勤2人；保洁8人；强、弱电工程师4人；水暖工程师2人，；电梯管理员1人；院落绿化2人，以确保京剧院正常运行</w:t>
      </w:r>
      <w:r>
        <w:rPr>
          <w:rFonts w:hint="eastAsia" w:ascii="仿宋_GB2312" w:hAnsi="仿宋"/>
          <w:szCs w:val="28"/>
        </w:rPr>
        <w:t>。项目全年开展两次绩效监控评价工作。</w:t>
      </w:r>
      <w:r>
        <w:rPr>
          <w:rFonts w:hint="eastAsia" w:ascii="仿宋_GB2312"/>
          <w:szCs w:val="28"/>
        </w:rPr>
        <w:t>项目产出指标由</w:t>
      </w:r>
      <w:r>
        <w:rPr>
          <w:rFonts w:ascii="仿宋_GB2312"/>
          <w:szCs w:val="28"/>
        </w:rPr>
        <w:t>4</w:t>
      </w:r>
      <w:r>
        <w:rPr>
          <w:rFonts w:hint="eastAsia" w:ascii="仿宋_GB2312"/>
          <w:szCs w:val="28"/>
        </w:rPr>
        <w:t>个二级指标和8个三级指标构成：聘用门岗人数8人，完成8人；聘用消防人数</w:t>
      </w:r>
      <w:r>
        <w:rPr>
          <w:rFonts w:ascii="仿宋_GB2312"/>
          <w:szCs w:val="28"/>
        </w:rPr>
        <w:t>7</w:t>
      </w:r>
      <w:r>
        <w:rPr>
          <w:rFonts w:hint="eastAsia" w:ascii="仿宋_GB2312"/>
          <w:szCs w:val="28"/>
        </w:rPr>
        <w:t>人，完成6人；聘用保洁人数8人，完成8人；安保人员日常巡查次数6次，完成6次；采购完成时间2月28日之前，完成2月1</w:t>
      </w:r>
      <w:r>
        <w:rPr>
          <w:rFonts w:ascii="仿宋_GB2312"/>
          <w:szCs w:val="28"/>
        </w:rPr>
        <w:t>6日；</w:t>
      </w:r>
      <w:r>
        <w:rPr>
          <w:rFonts w:hint="eastAsia" w:ascii="仿宋_GB2312"/>
          <w:szCs w:val="28"/>
        </w:rPr>
        <w:t>每月物业管理服务支出成本小于1</w:t>
      </w:r>
      <w:r>
        <w:rPr>
          <w:rFonts w:ascii="仿宋_GB2312"/>
          <w:szCs w:val="28"/>
        </w:rPr>
        <w:t>4.7万元，完成</w:t>
      </w:r>
      <w:r>
        <w:rPr>
          <w:rFonts w:hint="eastAsia" w:ascii="仿宋_GB2312"/>
          <w:szCs w:val="28"/>
        </w:rPr>
        <w:t>1</w:t>
      </w:r>
      <w:r>
        <w:rPr>
          <w:rFonts w:ascii="仿宋_GB2312"/>
          <w:szCs w:val="28"/>
        </w:rPr>
        <w:t>3.54万元；</w:t>
      </w:r>
      <w:r>
        <w:rPr>
          <w:rFonts w:hint="eastAsia" w:ascii="仿宋_GB2312"/>
          <w:szCs w:val="28"/>
        </w:rPr>
        <w:t>保障京剧院正常有效运行有效保障，完全达到预期；观众满意度大于等于9</w:t>
      </w:r>
      <w:r>
        <w:rPr>
          <w:rFonts w:ascii="仿宋_GB2312"/>
          <w:szCs w:val="28"/>
        </w:rPr>
        <w:t>5%，完成</w:t>
      </w:r>
      <w:r>
        <w:rPr>
          <w:rFonts w:hint="eastAsia" w:ascii="仿宋_GB2312"/>
          <w:szCs w:val="28"/>
        </w:rPr>
        <w:t>9</w:t>
      </w:r>
      <w:r>
        <w:rPr>
          <w:rFonts w:ascii="仿宋_GB2312"/>
          <w:szCs w:val="28"/>
        </w:rPr>
        <w:t>5%</w:t>
      </w:r>
      <w:r>
        <w:rPr>
          <w:rFonts w:hint="eastAsia" w:ascii="仿宋_GB2312"/>
          <w:szCs w:val="28"/>
        </w:rPr>
        <w:t>。项目</w:t>
      </w:r>
      <w:r>
        <w:rPr>
          <w:rFonts w:hint="eastAsia" w:ascii="仿宋_GB2312"/>
        </w:rPr>
        <w:t>全年完成工作时间365天，</w:t>
      </w:r>
      <w:r>
        <w:rPr>
          <w:rFonts w:hint="eastAsia" w:ascii="仿宋_GB2312" w:hAnsi="仿宋"/>
          <w:szCs w:val="28"/>
        </w:rPr>
        <w:t>安保消防及物业</w:t>
      </w:r>
      <w:r>
        <w:rPr>
          <w:rFonts w:hint="eastAsia" w:ascii="仿宋_GB2312"/>
        </w:rPr>
        <w:t>人员持证上岗率100%，人员</w:t>
      </w:r>
      <w:r>
        <w:rPr>
          <w:rFonts w:hint="eastAsia" w:ascii="仿宋_GB2312" w:hAnsi="仿宋"/>
          <w:szCs w:val="28"/>
        </w:rPr>
        <w:t>具备较强的责任心及岗位所需的技能。着装整齐、仪表端正、文明执勤、坚守岗位、工作认真</w:t>
      </w:r>
      <w:r>
        <w:rPr>
          <w:rFonts w:hint="eastAsia" w:ascii="仿宋_GB2312"/>
        </w:rPr>
        <w:t>安全事故发生数0起</w:t>
      </w:r>
      <w:r>
        <w:rPr>
          <w:rStyle w:val="20"/>
          <w:rFonts w:hint="eastAsia" w:ascii="仿宋_GB2312" w:hAnsi="仿宋_GB2312" w:cs="仿宋_GB2312"/>
          <w:sz w:val="28"/>
          <w:szCs w:val="28"/>
        </w:rPr>
        <w:t>。</w:t>
      </w:r>
      <w:r>
        <w:rPr>
          <w:rFonts w:hint="eastAsia" w:ascii="仿宋_GB2312"/>
          <w:szCs w:val="28"/>
        </w:rPr>
        <w:t>主要经验及做法：京剧院运营项目以预防为主，重点放在保安及消防人员对单位的安全保卫工作和消防监控工作，和保洁及物业人员对京剧院所有区域清洁绿化工作及京剧院内部设备设施管理和维护工作，确保京剧院正常运行。存在的问题及原因分析：1、保安人员在各项预案具体实施还不尽完美，保安人员的组织管理水平还有待提高。2、人员配置不足，因中标单位工资发放不及时造成消极怠工；3、不履职尽责，没有按照合同规定和规章制度进行上岗；4、个别安保人员有睡岗现象，造成安全隐患。</w:t>
      </w:r>
    </w:p>
    <w:p>
      <w:pPr>
        <w:pStyle w:val="3"/>
        <w:ind w:firstLine="643"/>
        <w:rPr>
          <w:rFonts w:ascii="仿宋" w:hAnsi="仿宋" w:eastAsia="仿宋"/>
          <w:lang w:bidi="en-US"/>
        </w:rPr>
      </w:pPr>
      <w:bookmarkStart w:id="17" w:name="_Toc67911606"/>
      <w:bookmarkStart w:id="18" w:name="_Toc165277231"/>
      <w:bookmarkStart w:id="19" w:name="_Hlk67586765"/>
      <w:r>
        <w:rPr>
          <w:rFonts w:hint="eastAsia" w:ascii="仿宋" w:hAnsi="仿宋" w:eastAsia="仿宋"/>
          <w:lang w:bidi="en-US"/>
        </w:rPr>
        <w:t>（二）绩效评价原则、指标体系、方法及标准</w:t>
      </w:r>
      <w:bookmarkEnd w:id="17"/>
      <w:bookmarkEnd w:id="18"/>
    </w:p>
    <w:bookmarkEnd w:id="19"/>
    <w:p>
      <w:pPr>
        <w:pStyle w:val="4"/>
        <w:ind w:firstLine="643"/>
      </w:pPr>
      <w:bookmarkStart w:id="20" w:name="_Toc165277232"/>
      <w:r>
        <w:rPr>
          <w:rFonts w:hint="eastAsia"/>
        </w:rPr>
        <w:t>1</w:t>
      </w:r>
      <w:r>
        <w:t>.</w:t>
      </w:r>
      <w:r>
        <w:rPr>
          <w:rFonts w:hint="eastAsia"/>
        </w:rPr>
        <w:t>评价原则</w:t>
      </w:r>
      <w:bookmarkEnd w:id="20"/>
    </w:p>
    <w:p>
      <w:pPr>
        <w:spacing w:line="600" w:lineRule="exact"/>
        <w:ind w:firstLine="640"/>
        <w:rPr>
          <w:rFonts w:ascii="仿宋_GB2312"/>
          <w:bCs/>
          <w:sz w:val="32"/>
          <w:szCs w:val="32"/>
        </w:rPr>
      </w:pPr>
      <w:r>
        <w:rPr>
          <w:rFonts w:hint="eastAsia" w:ascii="仿宋_GB2312"/>
          <w:bCs/>
          <w:sz w:val="32"/>
          <w:szCs w:val="32"/>
        </w:rPr>
        <w:t>（一）科学公正。绩效评价应当运用科学合理的方法，按照规范的程序，对项目绩效进行客观、公正的反映。</w:t>
      </w:r>
    </w:p>
    <w:p>
      <w:pPr>
        <w:spacing w:line="600" w:lineRule="exact"/>
        <w:ind w:firstLine="640"/>
        <w:rPr>
          <w:rFonts w:ascii="仿宋_GB2312"/>
          <w:bCs/>
          <w:sz w:val="32"/>
          <w:szCs w:val="32"/>
        </w:rPr>
      </w:pPr>
      <w:r>
        <w:rPr>
          <w:rFonts w:hint="eastAsia" w:ascii="仿宋_GB2312"/>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sz w:val="32"/>
          <w:szCs w:val="32"/>
        </w:rPr>
      </w:pPr>
      <w:r>
        <w:rPr>
          <w:rFonts w:hint="eastAsia" w:ascii="仿宋_GB2312"/>
          <w:bCs/>
          <w:sz w:val="32"/>
          <w:szCs w:val="32"/>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sz w:val="32"/>
          <w:szCs w:val="32"/>
        </w:rPr>
      </w:pPr>
      <w:r>
        <w:rPr>
          <w:rFonts w:hint="eastAsia" w:ascii="仿宋_GB2312"/>
          <w:bCs/>
          <w:sz w:val="32"/>
          <w:szCs w:val="32"/>
        </w:rPr>
        <w:t>（四）公开透明。绩效评价结果应依法依规公开，并自觉接受社会监督。</w:t>
      </w:r>
    </w:p>
    <w:p>
      <w:pPr>
        <w:pStyle w:val="4"/>
        <w:ind w:firstLine="643"/>
      </w:pPr>
      <w:bookmarkStart w:id="21" w:name="_Toc165277233"/>
      <w:r>
        <w:t>2.</w:t>
      </w:r>
      <w:r>
        <w:rPr>
          <w:rFonts w:hint="eastAsia"/>
        </w:rPr>
        <w:t>评价指标体系</w:t>
      </w:r>
      <w:bookmarkEnd w:id="21"/>
    </w:p>
    <w:p>
      <w:pPr>
        <w:spacing w:line="360" w:lineRule="auto"/>
        <w:ind w:firstLine="560"/>
        <w:rPr>
          <w:rFonts w:ascii="仿宋_GB2312"/>
        </w:rPr>
      </w:pPr>
      <w:r>
        <w:rPr>
          <w:rFonts w:hint="eastAsia" w:ascii="仿宋_GB2312"/>
        </w:rPr>
        <w:t>绩效评价指标体系作为衡量绩效目标实现程度的考核工具，一般遵循以下原则：</w:t>
      </w:r>
    </w:p>
    <w:p>
      <w:pPr>
        <w:spacing w:line="360" w:lineRule="auto"/>
        <w:ind w:firstLine="560"/>
        <w:rPr>
          <w:rFonts w:ascii="仿宋_GB2312"/>
        </w:rPr>
      </w:pPr>
      <w:r>
        <w:rPr>
          <w:rFonts w:hint="eastAsia" w:ascii="仿宋_GB2312"/>
        </w:rPr>
        <w:t>（1）相关性原则：绩效评价指标应当与绩效目标有直接的联系，能够恰当反映目标的实现程度。</w:t>
      </w:r>
    </w:p>
    <w:p>
      <w:pPr>
        <w:spacing w:line="360" w:lineRule="auto"/>
        <w:ind w:firstLine="560"/>
        <w:rPr>
          <w:rFonts w:ascii="仿宋_GB2312"/>
        </w:rPr>
      </w:pPr>
      <w:r>
        <w:rPr>
          <w:rFonts w:hint="eastAsia" w:ascii="仿宋_GB2312"/>
        </w:rPr>
        <w:t>（2）重要性原则：应当优先使用最具评价对象代表性、最能反映评价要求的核心指标。</w:t>
      </w:r>
    </w:p>
    <w:p>
      <w:pPr>
        <w:spacing w:line="360" w:lineRule="auto"/>
        <w:ind w:firstLine="560"/>
        <w:rPr>
          <w:rFonts w:ascii="仿宋_GB2312"/>
        </w:rPr>
      </w:pPr>
      <w:r>
        <w:rPr>
          <w:rFonts w:hint="eastAsia" w:ascii="仿宋_GB2312"/>
        </w:rPr>
        <w:t>（3）可比性原则：对同类评价对象要设定共性的绩效评价指标，以便于评价结果可以相互比较。</w:t>
      </w:r>
    </w:p>
    <w:p>
      <w:pPr>
        <w:spacing w:line="360" w:lineRule="auto"/>
        <w:ind w:firstLine="560"/>
        <w:rPr>
          <w:rFonts w:ascii="仿宋_GB2312"/>
        </w:rPr>
      </w:pPr>
      <w:r>
        <w:rPr>
          <w:rFonts w:hint="eastAsia" w:ascii="仿宋_GB2312"/>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rPr>
      </w:pPr>
      <w:r>
        <w:rPr>
          <w:rFonts w:hint="eastAsia" w:ascii="仿宋_GB2312"/>
        </w:rPr>
        <w:t>（5）经济性原则：绩效评价指标设计应当通俗易懂、简便易行，数据的获得应当考虑现实条件和可操作性，符合成本效益原则。</w:t>
      </w:r>
    </w:p>
    <w:p>
      <w:pPr>
        <w:spacing w:line="360" w:lineRule="auto"/>
        <w:ind w:firstLine="560"/>
        <w:rPr>
          <w:rFonts w:ascii="仿宋_GB2312"/>
        </w:rPr>
      </w:pPr>
      <w:r>
        <w:rPr>
          <w:rFonts w:hint="eastAsia" w:ascii="仿宋_GB2312"/>
        </w:rPr>
        <w:t>本项目的评价指标体系建立如下表所示。</w:t>
      </w:r>
    </w:p>
    <w:p>
      <w:pPr>
        <w:spacing w:line="360" w:lineRule="auto"/>
        <w:ind w:firstLine="560"/>
        <w:rPr>
          <w:rFonts w:ascii="仿宋_GB2312"/>
        </w:rPr>
      </w:pPr>
    </w:p>
    <w:p>
      <w:pPr>
        <w:spacing w:line="360" w:lineRule="auto"/>
        <w:ind w:firstLine="560"/>
        <w:rPr>
          <w:rFonts w:ascii="仿宋_GB2312"/>
        </w:rPr>
      </w:pPr>
    </w:p>
    <w:p>
      <w:pPr>
        <w:spacing w:line="360" w:lineRule="auto"/>
        <w:ind w:firstLine="560"/>
        <w:rPr>
          <w:rFonts w:ascii="仿宋_GB2312"/>
        </w:rPr>
        <w:sectPr>
          <w:headerReference r:id="rId9" w:type="default"/>
          <w:footerReference r:id="rId10"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ascii="仿宋_GB2312"/>
          <w:b/>
          <w:bCs/>
        </w:rPr>
      </w:pPr>
      <w:r>
        <w:rPr>
          <w:rFonts w:ascii="仿宋_GB2312"/>
          <w:b/>
          <w:bCs/>
        </w:rPr>
        <w:t xml:space="preserve">  </w:t>
      </w:r>
      <w:r>
        <w:rPr>
          <w:rFonts w:hint="eastAsia" w:ascii="仿宋_GB2312"/>
          <w:b/>
          <w:bCs/>
        </w:rPr>
        <w:t>项目支出绩效评价指标体系</w:t>
      </w:r>
    </w:p>
    <w:tbl>
      <w:tblPr>
        <w:tblStyle w:val="16"/>
        <w:tblW w:w="1389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kern w:val="0"/>
                <w:sz w:val="22"/>
              </w:rPr>
            </w:pPr>
            <w:r>
              <w:rPr>
                <w:rFonts w:hint="eastAsia" w:ascii="宋体" w:hAnsi="宋体" w:eastAsia="宋体" w:cs="宋体"/>
                <w:b/>
                <w:bCs/>
                <w:kern w:val="0"/>
                <w:sz w:val="22"/>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kern w:val="0"/>
                <w:sz w:val="22"/>
              </w:rPr>
            </w:pPr>
            <w:r>
              <w:rPr>
                <w:rFonts w:hint="eastAsia" w:ascii="宋体" w:hAnsi="宋体" w:eastAsia="宋体" w:cs="宋体"/>
                <w:b/>
                <w:bCs/>
                <w:kern w:val="0"/>
                <w:sz w:val="22"/>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kern w:val="0"/>
                <w:sz w:val="22"/>
              </w:rPr>
            </w:pPr>
            <w:r>
              <w:rPr>
                <w:rFonts w:hint="eastAsia" w:ascii="宋体" w:hAnsi="宋体" w:eastAsia="宋体" w:cs="宋体"/>
                <w:b/>
                <w:bCs/>
                <w:kern w:val="0"/>
                <w:sz w:val="22"/>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kern w:val="0"/>
                <w:sz w:val="22"/>
              </w:rPr>
            </w:pPr>
            <w:r>
              <w:rPr>
                <w:rFonts w:hint="eastAsia" w:ascii="宋体" w:hAnsi="宋体" w:eastAsia="宋体" w:cs="宋体"/>
                <w:b/>
                <w:bCs/>
                <w:kern w:val="0"/>
                <w:sz w:val="22"/>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kern w:val="0"/>
                <w:sz w:val="22"/>
              </w:rPr>
            </w:pPr>
            <w:r>
              <w:rPr>
                <w:rFonts w:hint="eastAsia" w:ascii="宋体" w:hAnsi="宋体" w:eastAsia="宋体" w:cs="宋体"/>
                <w:b/>
                <w:bCs/>
                <w:kern w:val="0"/>
                <w:sz w:val="22"/>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项目立项</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立项依据</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充分性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①项目立项是否符合国家法律法规、国民经济发展规划和相关政策；</w:t>
            </w:r>
            <w:r>
              <w:rPr>
                <w:rFonts w:hint="eastAsia" w:ascii="宋体" w:hAnsi="宋体" w:eastAsia="宋体" w:cs="宋体"/>
                <w:kern w:val="0"/>
                <w:sz w:val="22"/>
              </w:rPr>
              <w:br w:type="textWrapping"/>
            </w:r>
            <w:r>
              <w:rPr>
                <w:rFonts w:hint="eastAsia" w:ascii="宋体" w:hAnsi="宋体" w:eastAsia="宋体" w:cs="宋体"/>
                <w:kern w:val="0"/>
                <w:sz w:val="22"/>
              </w:rPr>
              <w:t>②项目立项是否符合行业发展规划和政策要求；</w:t>
            </w:r>
            <w:r>
              <w:rPr>
                <w:rFonts w:hint="eastAsia" w:ascii="宋体" w:hAnsi="宋体" w:eastAsia="宋体" w:cs="宋体"/>
                <w:kern w:val="0"/>
                <w:sz w:val="22"/>
              </w:rPr>
              <w:br w:type="textWrapping"/>
            </w:r>
            <w:r>
              <w:rPr>
                <w:rFonts w:hint="eastAsia" w:ascii="宋体" w:hAnsi="宋体" w:eastAsia="宋体" w:cs="宋体"/>
                <w:kern w:val="0"/>
                <w:sz w:val="22"/>
              </w:rPr>
              <w:t>③项目立项是否与部门职责范围相符，属于部门履职所需；</w:t>
            </w:r>
            <w:r>
              <w:rPr>
                <w:rFonts w:hint="eastAsia" w:ascii="宋体" w:hAnsi="宋体" w:eastAsia="宋体" w:cs="宋体"/>
                <w:kern w:val="0"/>
                <w:sz w:val="22"/>
              </w:rPr>
              <w:br w:type="textWrapping"/>
            </w:r>
            <w:r>
              <w:rPr>
                <w:rFonts w:hint="eastAsia" w:ascii="宋体" w:hAnsi="宋体" w:eastAsia="宋体" w:cs="宋体"/>
                <w:kern w:val="0"/>
                <w:sz w:val="22"/>
              </w:rPr>
              <w:t>④项目是否属于公共财政支持范围，是否符合中央、地方事权支出责任划分原则；</w:t>
            </w:r>
            <w:r>
              <w:rPr>
                <w:rFonts w:hint="eastAsia" w:ascii="宋体" w:hAnsi="宋体" w:eastAsia="宋体" w:cs="宋体"/>
                <w:kern w:val="0"/>
                <w:sz w:val="22"/>
              </w:rPr>
              <w:br w:type="textWrapping"/>
            </w:r>
            <w:r>
              <w:rPr>
                <w:rFonts w:hint="eastAsia" w:ascii="宋体" w:hAnsi="宋体" w:eastAsia="宋体" w:cs="宋体"/>
                <w:kern w:val="0"/>
                <w:sz w:val="22"/>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立项程序</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规范性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①项目是否按照规定的程序申请设立；</w:t>
            </w:r>
            <w:r>
              <w:rPr>
                <w:rFonts w:hint="eastAsia" w:ascii="宋体" w:hAnsi="宋体" w:eastAsia="宋体" w:cs="宋体"/>
                <w:kern w:val="0"/>
                <w:sz w:val="22"/>
              </w:rPr>
              <w:br w:type="textWrapping"/>
            </w:r>
            <w:r>
              <w:rPr>
                <w:rFonts w:hint="eastAsia" w:ascii="宋体" w:hAnsi="宋体" w:eastAsia="宋体" w:cs="宋体"/>
                <w:kern w:val="0"/>
                <w:sz w:val="22"/>
              </w:rPr>
              <w:t>②审批文件、材料是否符合相关要求；</w:t>
            </w:r>
            <w:r>
              <w:rPr>
                <w:rFonts w:hint="eastAsia" w:ascii="宋体" w:hAnsi="宋体" w:eastAsia="宋体" w:cs="宋体"/>
                <w:kern w:val="0"/>
                <w:sz w:val="22"/>
              </w:rPr>
              <w:br w:type="textWrapping"/>
            </w:r>
            <w:r>
              <w:rPr>
                <w:rFonts w:hint="eastAsia" w:ascii="宋体" w:hAnsi="宋体" w:eastAsia="宋体" w:cs="宋体"/>
                <w:kern w:val="0"/>
                <w:sz w:val="22"/>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绩效目标</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合理性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（如未设定预算绩效目标，也可考核其他工作任务目标）</w:t>
            </w:r>
            <w:r>
              <w:rPr>
                <w:rFonts w:hint="eastAsia" w:ascii="宋体" w:hAnsi="宋体" w:eastAsia="宋体" w:cs="宋体"/>
                <w:kern w:val="0"/>
                <w:sz w:val="22"/>
              </w:rPr>
              <w:br w:type="textWrapping"/>
            </w:r>
            <w:r>
              <w:rPr>
                <w:rFonts w:hint="eastAsia" w:ascii="宋体" w:hAnsi="宋体" w:eastAsia="宋体" w:cs="宋体"/>
                <w:kern w:val="0"/>
                <w:sz w:val="22"/>
              </w:rPr>
              <w:t>①项目是否有绩效目标；</w:t>
            </w:r>
            <w:r>
              <w:rPr>
                <w:rFonts w:hint="eastAsia" w:ascii="宋体" w:hAnsi="宋体" w:eastAsia="宋体" w:cs="宋体"/>
                <w:kern w:val="0"/>
                <w:sz w:val="22"/>
              </w:rPr>
              <w:br w:type="textWrapping"/>
            </w:r>
            <w:r>
              <w:rPr>
                <w:rFonts w:hint="eastAsia" w:ascii="宋体" w:hAnsi="宋体" w:eastAsia="宋体" w:cs="宋体"/>
                <w:kern w:val="0"/>
                <w:sz w:val="22"/>
              </w:rPr>
              <w:t>②项目绩效目标与实际工作内容是否具有相关性；</w:t>
            </w:r>
            <w:r>
              <w:rPr>
                <w:rFonts w:hint="eastAsia" w:ascii="宋体" w:hAnsi="宋体" w:eastAsia="宋体" w:cs="宋体"/>
                <w:kern w:val="0"/>
                <w:sz w:val="22"/>
              </w:rPr>
              <w:br w:type="textWrapping"/>
            </w:r>
            <w:r>
              <w:rPr>
                <w:rFonts w:hint="eastAsia" w:ascii="宋体" w:hAnsi="宋体" w:eastAsia="宋体" w:cs="宋体"/>
                <w:kern w:val="0"/>
                <w:sz w:val="22"/>
              </w:rPr>
              <w:t>③项目预期产出效益和效果是否符合正常的业绩水平；</w:t>
            </w:r>
          </w:p>
          <w:p>
            <w:pPr>
              <w:widowControl/>
              <w:ind w:firstLine="0" w:firstLineChars="0"/>
              <w:jc w:val="left"/>
              <w:rPr>
                <w:rFonts w:ascii="宋体" w:hAnsi="宋体" w:eastAsia="宋体" w:cs="宋体"/>
                <w:kern w:val="0"/>
                <w:sz w:val="22"/>
              </w:rPr>
            </w:pPr>
            <w:r>
              <w:rPr>
                <w:rFonts w:hint="eastAsia" w:ascii="宋体" w:hAnsi="宋体" w:eastAsia="宋体" w:cs="宋体"/>
                <w:kern w:val="0"/>
                <w:sz w:val="22"/>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决策</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绩效指标</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明确性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①是否将项目绩效目标细化分解为具体的绩效指标；</w:t>
            </w:r>
            <w:r>
              <w:rPr>
                <w:rFonts w:hint="eastAsia" w:ascii="宋体" w:hAnsi="宋体" w:eastAsia="宋体" w:cs="宋体"/>
                <w:kern w:val="0"/>
                <w:sz w:val="22"/>
              </w:rPr>
              <w:br w:type="textWrapping"/>
            </w:r>
            <w:r>
              <w:rPr>
                <w:rFonts w:hint="eastAsia" w:ascii="宋体" w:hAnsi="宋体" w:eastAsia="宋体" w:cs="宋体"/>
                <w:kern w:val="0"/>
                <w:sz w:val="22"/>
              </w:rPr>
              <w:t>②是否通过清晰、可衡量的指标值予以体现；</w:t>
            </w:r>
            <w:r>
              <w:rPr>
                <w:rFonts w:hint="eastAsia" w:ascii="宋体" w:hAnsi="宋体" w:eastAsia="宋体" w:cs="宋体"/>
                <w:kern w:val="0"/>
                <w:sz w:val="22"/>
              </w:rPr>
              <w:br w:type="textWrapping"/>
            </w:r>
            <w:r>
              <w:rPr>
                <w:rFonts w:hint="eastAsia" w:ascii="宋体" w:hAnsi="宋体" w:eastAsia="宋体" w:cs="宋体"/>
                <w:kern w:val="0"/>
                <w:sz w:val="22"/>
              </w:rPr>
              <w:t>③是否与项目目标任务数或计划数相对应。</w:t>
            </w:r>
            <w:r>
              <w:rPr>
                <w:rFonts w:hint="eastAsia" w:ascii="宋体" w:hAnsi="宋体" w:eastAsia="宋体" w:cs="宋体"/>
                <w:kern w:val="0"/>
                <w:sz w:val="22"/>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资金投入</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预算编制</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科学性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①预算编制是否经过科学论证；</w:t>
            </w:r>
            <w:r>
              <w:rPr>
                <w:rFonts w:hint="eastAsia" w:ascii="宋体" w:hAnsi="宋体" w:eastAsia="宋体" w:cs="宋体"/>
                <w:kern w:val="0"/>
                <w:sz w:val="22"/>
              </w:rPr>
              <w:br w:type="textWrapping"/>
            </w:r>
            <w:r>
              <w:rPr>
                <w:rFonts w:hint="eastAsia" w:ascii="宋体" w:hAnsi="宋体" w:eastAsia="宋体" w:cs="宋体"/>
                <w:kern w:val="0"/>
                <w:sz w:val="22"/>
              </w:rPr>
              <w:t>②预算内容与项目内容是否匹配；</w:t>
            </w:r>
            <w:r>
              <w:rPr>
                <w:rFonts w:hint="eastAsia" w:ascii="宋体" w:hAnsi="宋体" w:eastAsia="宋体" w:cs="宋体"/>
                <w:kern w:val="0"/>
                <w:sz w:val="22"/>
              </w:rPr>
              <w:br w:type="textWrapping"/>
            </w:r>
            <w:r>
              <w:rPr>
                <w:rFonts w:hint="eastAsia" w:ascii="宋体" w:hAnsi="宋体" w:eastAsia="宋体" w:cs="宋体"/>
                <w:kern w:val="0"/>
                <w:sz w:val="22"/>
              </w:rPr>
              <w:t>③预算额度测算依据是否充分，是否按照标准编制；</w:t>
            </w:r>
            <w:r>
              <w:rPr>
                <w:rFonts w:hint="eastAsia" w:ascii="宋体" w:hAnsi="宋体" w:eastAsia="宋体" w:cs="宋体"/>
                <w:kern w:val="0"/>
                <w:sz w:val="22"/>
              </w:rPr>
              <w:br w:type="textWrapping"/>
            </w:r>
            <w:r>
              <w:rPr>
                <w:rFonts w:hint="eastAsia" w:ascii="宋体" w:hAnsi="宋体" w:eastAsia="宋体" w:cs="宋体"/>
                <w:kern w:val="0"/>
                <w:sz w:val="22"/>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资金分配</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合理性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①预算资金分配依据是否充分；</w:t>
            </w:r>
            <w:r>
              <w:rPr>
                <w:rFonts w:hint="eastAsia" w:ascii="宋体" w:hAnsi="宋体" w:eastAsia="宋体" w:cs="宋体"/>
                <w:kern w:val="0"/>
                <w:sz w:val="22"/>
              </w:rPr>
              <w:br w:type="textWrapping"/>
            </w:r>
            <w:r>
              <w:rPr>
                <w:rFonts w:hint="eastAsia" w:ascii="宋体" w:hAnsi="宋体" w:eastAsia="宋体" w:cs="宋体"/>
                <w:kern w:val="0"/>
                <w:sz w:val="22"/>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kern w:val="0"/>
                <w:sz w:val="22"/>
              </w:rPr>
            </w:pPr>
            <w:r>
              <w:rPr>
                <w:rFonts w:hint="eastAsia" w:ascii="宋体" w:hAnsi="宋体" w:eastAsia="宋体" w:cs="宋体"/>
                <w:kern w:val="0"/>
                <w:sz w:val="22"/>
              </w:rPr>
              <w:t>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资金到位率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资金到位率=（实际到位资金/预算资金）×100%。</w:t>
            </w:r>
          </w:p>
          <w:p>
            <w:pPr>
              <w:widowControl/>
              <w:ind w:firstLine="0" w:firstLineChars="0"/>
              <w:rPr>
                <w:rFonts w:ascii="宋体" w:hAnsi="宋体" w:eastAsia="宋体" w:cs="宋体"/>
                <w:kern w:val="0"/>
                <w:sz w:val="22"/>
              </w:rPr>
            </w:pPr>
            <w:r>
              <w:rPr>
                <w:rFonts w:hint="eastAsia" w:ascii="宋体" w:hAnsi="宋体" w:eastAsia="宋体" w:cs="宋体"/>
                <w:kern w:val="0"/>
                <w:sz w:val="22"/>
              </w:rPr>
              <w:t>实际到位资金：一定时期（本年度或项目期）内落实到具体项目的资金。</w:t>
            </w:r>
          </w:p>
          <w:p>
            <w:pPr>
              <w:widowControl/>
              <w:ind w:firstLine="0" w:firstLineChars="0"/>
              <w:rPr>
                <w:rFonts w:ascii="宋体" w:hAnsi="宋体" w:eastAsia="宋体" w:cs="宋体"/>
                <w:kern w:val="0"/>
                <w:sz w:val="22"/>
              </w:rPr>
            </w:pPr>
            <w:r>
              <w:rPr>
                <w:rFonts w:hint="eastAsia" w:ascii="宋体" w:hAnsi="宋体" w:eastAsia="宋体" w:cs="宋体"/>
                <w:kern w:val="0"/>
                <w:sz w:val="22"/>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199"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预算执行率</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预算执行率=（实际支出资金/实际到位资金）×100%。</w:t>
            </w:r>
            <w:r>
              <w:rPr>
                <w:rFonts w:hint="eastAsia" w:ascii="宋体" w:hAnsi="宋体" w:eastAsia="宋体" w:cs="宋体"/>
                <w:kern w:val="0"/>
                <w:sz w:val="22"/>
              </w:rPr>
              <w:br w:type="textWrapping"/>
            </w:r>
            <w:r>
              <w:rPr>
                <w:rFonts w:hint="eastAsia" w:ascii="宋体" w:hAnsi="宋体" w:eastAsia="宋体" w:cs="宋体"/>
                <w:kern w:val="0"/>
                <w:sz w:val="22"/>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kern w:val="0"/>
                <w:sz w:val="22"/>
              </w:rPr>
            </w:pPr>
            <w:r>
              <w:rPr>
                <w:rFonts w:hint="eastAsia" w:ascii="宋体" w:hAnsi="宋体" w:eastAsia="宋体" w:cs="宋体"/>
                <w:kern w:val="0"/>
                <w:sz w:val="22"/>
              </w:rPr>
              <w:t>过程</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资金使用</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合规性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①是否符合国家财经法规和财务管理制度以及有关专项资金管理办法的规定；</w:t>
            </w:r>
            <w:r>
              <w:rPr>
                <w:rFonts w:hint="eastAsia" w:ascii="宋体" w:hAnsi="宋体" w:eastAsia="宋体" w:cs="宋体"/>
                <w:kern w:val="0"/>
                <w:sz w:val="22"/>
              </w:rPr>
              <w:br w:type="textWrapping"/>
            </w:r>
            <w:r>
              <w:rPr>
                <w:rFonts w:hint="eastAsia" w:ascii="宋体" w:hAnsi="宋体" w:eastAsia="宋体" w:cs="宋体"/>
                <w:kern w:val="0"/>
                <w:sz w:val="22"/>
              </w:rPr>
              <w:t>②资金的拨付是否有完整的审批程序和手续；</w:t>
            </w:r>
            <w:r>
              <w:rPr>
                <w:rFonts w:hint="eastAsia" w:ascii="宋体" w:hAnsi="宋体" w:eastAsia="宋体" w:cs="宋体"/>
                <w:kern w:val="0"/>
                <w:sz w:val="22"/>
              </w:rPr>
              <w:br w:type="textWrapping"/>
            </w:r>
            <w:r>
              <w:rPr>
                <w:rFonts w:hint="eastAsia" w:ascii="宋体" w:hAnsi="宋体" w:eastAsia="宋体" w:cs="宋体"/>
                <w:kern w:val="0"/>
                <w:sz w:val="22"/>
              </w:rPr>
              <w:t>③是否符合项目预算批复或合同规定的用途；</w:t>
            </w:r>
            <w:r>
              <w:rPr>
                <w:rFonts w:hint="eastAsia" w:ascii="宋体" w:hAnsi="宋体" w:eastAsia="宋体" w:cs="宋体"/>
                <w:kern w:val="0"/>
                <w:sz w:val="22"/>
              </w:rPr>
              <w:br w:type="textWrapping"/>
            </w:r>
            <w:r>
              <w:rPr>
                <w:rFonts w:hint="eastAsia" w:ascii="宋体" w:hAnsi="宋体" w:eastAsia="宋体" w:cs="宋体"/>
                <w:kern w:val="0"/>
                <w:sz w:val="22"/>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组织实施</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管理制度</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健全性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①是否已制定或具有相应的财务和业务管理制度；</w:t>
            </w:r>
            <w:r>
              <w:rPr>
                <w:rFonts w:hint="eastAsia" w:ascii="宋体" w:hAnsi="宋体" w:eastAsia="宋体" w:cs="宋体"/>
                <w:kern w:val="0"/>
                <w:sz w:val="22"/>
              </w:rPr>
              <w:br w:type="textWrapping"/>
            </w:r>
            <w:r>
              <w:rPr>
                <w:rFonts w:hint="eastAsia" w:ascii="宋体" w:hAnsi="宋体" w:eastAsia="宋体" w:cs="宋体"/>
                <w:kern w:val="0"/>
                <w:sz w:val="22"/>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制度执行</w:t>
            </w:r>
          </w:p>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有效性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评价要点：</w:t>
            </w:r>
            <w:r>
              <w:rPr>
                <w:rFonts w:hint="eastAsia" w:ascii="宋体" w:hAnsi="宋体" w:eastAsia="宋体" w:cs="宋体"/>
                <w:kern w:val="0"/>
                <w:sz w:val="22"/>
              </w:rPr>
              <w:br w:type="textWrapping"/>
            </w:r>
            <w:r>
              <w:rPr>
                <w:rFonts w:hint="eastAsia" w:ascii="宋体" w:hAnsi="宋体" w:eastAsia="宋体" w:cs="宋体"/>
                <w:kern w:val="0"/>
                <w:sz w:val="22"/>
              </w:rPr>
              <w:t>①是否遵守相关法律法规和相关管理规定；</w:t>
            </w:r>
            <w:r>
              <w:rPr>
                <w:rFonts w:hint="eastAsia" w:ascii="宋体" w:hAnsi="宋体" w:eastAsia="宋体" w:cs="宋体"/>
                <w:kern w:val="0"/>
                <w:sz w:val="22"/>
              </w:rPr>
              <w:br w:type="textWrapping"/>
            </w:r>
            <w:r>
              <w:rPr>
                <w:rFonts w:hint="eastAsia" w:ascii="宋体" w:hAnsi="宋体" w:eastAsia="宋体" w:cs="宋体"/>
                <w:kern w:val="0"/>
                <w:sz w:val="22"/>
              </w:rPr>
              <w:t>②项目调整及支出调整手续是否完备；</w:t>
            </w:r>
            <w:r>
              <w:rPr>
                <w:rFonts w:hint="eastAsia" w:ascii="宋体" w:hAnsi="宋体" w:eastAsia="宋体" w:cs="宋体"/>
                <w:kern w:val="0"/>
                <w:sz w:val="22"/>
              </w:rPr>
              <w:br w:type="textWrapping"/>
            </w:r>
            <w:r>
              <w:rPr>
                <w:rFonts w:hint="eastAsia" w:ascii="宋体" w:hAnsi="宋体" w:eastAsia="宋体" w:cs="宋体"/>
                <w:kern w:val="0"/>
                <w:sz w:val="22"/>
              </w:rPr>
              <w:t>③项目合同书、验收报告、技术鉴定等资料是否齐全并及时归档；</w:t>
            </w:r>
            <w:r>
              <w:rPr>
                <w:rFonts w:hint="eastAsia" w:ascii="宋体" w:hAnsi="宋体" w:eastAsia="宋体" w:cs="宋体"/>
                <w:kern w:val="0"/>
                <w:sz w:val="22"/>
              </w:rPr>
              <w:br w:type="textWrapping"/>
            </w:r>
            <w:r>
              <w:rPr>
                <w:rFonts w:hint="eastAsia" w:ascii="宋体" w:hAnsi="宋体" w:eastAsia="宋体" w:cs="宋体"/>
                <w:kern w:val="0"/>
                <w:sz w:val="22"/>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产出数量</w:t>
            </w:r>
          </w:p>
        </w:tc>
        <w:tc>
          <w:tcPr>
            <w:tcW w:w="1411" w:type="dxa"/>
            <w:tcBorders>
              <w:tl2br w:val="nil"/>
              <w:tr2bl w:val="nil"/>
            </w:tcBorders>
            <w:shd w:val="clear" w:color="auto" w:fill="FFFFFF"/>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聘用门岗人数</w:t>
            </w:r>
          </w:p>
        </w:tc>
        <w:tc>
          <w:tcPr>
            <w:tcW w:w="2789" w:type="dxa"/>
            <w:vMerge w:val="restart"/>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实际完成率=（实际产出数/计划产出数）×100%。</w:t>
            </w:r>
            <w:r>
              <w:rPr>
                <w:rFonts w:hint="eastAsia" w:ascii="宋体" w:hAnsi="宋体" w:eastAsia="宋体" w:cs="宋体"/>
                <w:kern w:val="0"/>
                <w:sz w:val="22"/>
              </w:rPr>
              <w:br w:type="textWrapping"/>
            </w:r>
            <w:r>
              <w:rPr>
                <w:rFonts w:hint="eastAsia" w:ascii="宋体" w:hAnsi="宋体" w:eastAsia="宋体" w:cs="宋体"/>
                <w:kern w:val="0"/>
                <w:sz w:val="22"/>
              </w:rPr>
              <w:t>实际产出数：一定时期（本年度或项目期）内项目实际产出的产品或提供的服务数量。</w:t>
            </w:r>
            <w:r>
              <w:rPr>
                <w:rFonts w:hint="eastAsia" w:ascii="宋体" w:hAnsi="宋体" w:eastAsia="宋体" w:cs="宋体"/>
                <w:kern w:val="0"/>
                <w:sz w:val="22"/>
              </w:rPr>
              <w:br w:type="textWrapping"/>
            </w:r>
            <w:r>
              <w:rPr>
                <w:rFonts w:hint="eastAsia" w:ascii="宋体" w:hAnsi="宋体" w:eastAsia="宋体" w:cs="宋体"/>
                <w:kern w:val="0"/>
                <w:sz w:val="22"/>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聘用消防人数</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kern w:val="0"/>
                <w:sz w:val="22"/>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聘用保洁人数</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kern w:val="0"/>
                <w:sz w:val="22"/>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kern w:val="0"/>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产出</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产出质量</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安保人员日常巡查次数</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质量达标率=（质量达标产出数/实际产出数）×100%。</w:t>
            </w:r>
          </w:p>
          <w:p>
            <w:pPr>
              <w:widowControl/>
              <w:ind w:firstLine="0" w:firstLineChars="0"/>
              <w:rPr>
                <w:rFonts w:ascii="宋体" w:hAnsi="宋体" w:eastAsia="宋体" w:cs="宋体"/>
                <w:kern w:val="0"/>
                <w:sz w:val="22"/>
              </w:rPr>
            </w:pPr>
            <w:r>
              <w:rPr>
                <w:rFonts w:hint="eastAsia" w:ascii="宋体" w:hAnsi="宋体" w:eastAsia="宋体" w:cs="宋体"/>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6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kern w:val="0"/>
                <w:sz w:val="22"/>
              </w:rPr>
            </w:pPr>
          </w:p>
        </w:tc>
        <w:tc>
          <w:tcPr>
            <w:tcW w:w="1199" w:type="dxa"/>
            <w:tcBorders>
              <w:tl2br w:val="nil"/>
              <w:tr2bl w:val="nil"/>
            </w:tcBorders>
            <w:shd w:val="clear" w:color="auto" w:fill="FFFFFF"/>
            <w:vAlign w:val="center"/>
          </w:tcPr>
          <w:p>
            <w:pPr>
              <w:ind w:firstLine="0" w:firstLineChars="0"/>
              <w:jc w:val="center"/>
              <w:rPr>
                <w:rFonts w:ascii="宋体" w:hAnsi="宋体" w:eastAsia="宋体" w:cs="宋体"/>
                <w:kern w:val="0"/>
                <w:sz w:val="22"/>
              </w:rPr>
            </w:pPr>
            <w:r>
              <w:rPr>
                <w:rFonts w:hint="eastAsia" w:ascii="宋体" w:hAnsi="宋体" w:eastAsia="宋体" w:cs="宋体"/>
                <w:kern w:val="0"/>
                <w:sz w:val="22"/>
              </w:rPr>
              <w:t>产出时效</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采购完成时间</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实际完成时间：项目实施单位完成该项目实际所耗用的时间。</w:t>
            </w:r>
            <w:r>
              <w:rPr>
                <w:rFonts w:hint="eastAsia" w:ascii="宋体" w:hAnsi="宋体" w:eastAsia="宋体" w:cs="宋体"/>
                <w:kern w:val="0"/>
                <w:sz w:val="22"/>
              </w:rPr>
              <w:br w:type="textWrapping"/>
            </w:r>
            <w:r>
              <w:rPr>
                <w:rFonts w:hint="eastAsia" w:ascii="宋体" w:hAnsi="宋体" w:eastAsia="宋体" w:cs="宋体"/>
                <w:kern w:val="0"/>
                <w:sz w:val="22"/>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产出成本</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每月物业管理服务支出成本</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br w:type="textWrapping"/>
            </w:r>
            <w:r>
              <w:rPr>
                <w:rFonts w:hint="eastAsia" w:ascii="宋体" w:hAnsi="宋体" w:eastAsia="宋体" w:cs="宋体"/>
                <w:kern w:val="0"/>
                <w:sz w:val="22"/>
              </w:rPr>
              <w:t>成本节约率=[（计划成本-实际成本）/计划成本]×100%。</w:t>
            </w:r>
            <w:r>
              <w:rPr>
                <w:rFonts w:hint="eastAsia" w:ascii="宋体" w:hAnsi="宋体" w:eastAsia="宋体" w:cs="宋体"/>
                <w:kern w:val="0"/>
                <w:sz w:val="22"/>
              </w:rPr>
              <w:br w:type="textWrapping"/>
            </w:r>
            <w:r>
              <w:rPr>
                <w:rFonts w:hint="eastAsia" w:ascii="宋体" w:hAnsi="宋体" w:eastAsia="宋体" w:cs="宋体"/>
                <w:kern w:val="0"/>
                <w:sz w:val="22"/>
              </w:rPr>
              <w:t>实际成本：项目实施单位如期、保质、保量完成既定工作目标实际所耗费的支出。</w:t>
            </w:r>
            <w:r>
              <w:rPr>
                <w:rFonts w:hint="eastAsia" w:ascii="宋体" w:hAnsi="宋体" w:eastAsia="宋体" w:cs="宋体"/>
                <w:kern w:val="0"/>
                <w:sz w:val="22"/>
              </w:rPr>
              <w:br w:type="textWrapping"/>
            </w:r>
            <w:r>
              <w:rPr>
                <w:rFonts w:hint="eastAsia" w:ascii="宋体" w:hAnsi="宋体" w:eastAsia="宋体" w:cs="宋体"/>
                <w:kern w:val="0"/>
                <w:sz w:val="22"/>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889" w:hRule="atLeast"/>
          <w:jc w:val="center"/>
        </w:trPr>
        <w:tc>
          <w:tcPr>
            <w:tcW w:w="1155"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效益</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社会效益指标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保障京剧院正常有效运行</w:t>
            </w:r>
          </w:p>
        </w:tc>
        <w:tc>
          <w:tcPr>
            <w:tcW w:w="2789" w:type="dxa"/>
            <w:tcBorders>
              <w:tl2br w:val="nil"/>
              <w:tr2bl w:val="nil"/>
            </w:tcBorders>
            <w:shd w:val="clear" w:color="auto" w:fill="FFFFFF"/>
            <w:vAlign w:val="center"/>
          </w:tcPr>
          <w:p>
            <w:pPr>
              <w:widowControl/>
              <w:ind w:firstLine="0" w:firstLineChars="0"/>
              <w:jc w:val="left"/>
              <w:rPr>
                <w:rFonts w:ascii="宋体" w:hAnsi="宋体" w:eastAsia="宋体" w:cs="宋体"/>
                <w:kern w:val="0"/>
                <w:sz w:val="22"/>
              </w:rPr>
            </w:pPr>
            <w:r>
              <w:rPr>
                <w:rFonts w:hint="eastAsia" w:ascii="宋体" w:hAnsi="宋体" w:eastAsia="宋体" w:cs="宋体"/>
                <w:kern w:val="0"/>
                <w:sz w:val="22"/>
              </w:rPr>
              <w:t>项目实施所产生的效益。</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137" w:hRule="atLeast"/>
          <w:jc w:val="center"/>
        </w:trPr>
        <w:tc>
          <w:tcPr>
            <w:tcW w:w="1155"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ascii="宋体" w:hAnsi="宋体" w:eastAsia="宋体" w:cs="宋体"/>
                <w:kern w:val="0"/>
                <w:sz w:val="22"/>
              </w:rPr>
              <w:t>满意度指标完成情况分析</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满意度指标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观众满意度</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社会公众或服务对象对项目实施效果的满意程度。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kern w:val="0"/>
                <w:sz w:val="22"/>
              </w:rPr>
            </w:pPr>
            <w:r>
              <w:rPr>
                <w:rFonts w:hint="eastAsia" w:ascii="宋体" w:hAnsi="宋体" w:eastAsia="宋体" w:cs="宋体"/>
                <w:kern w:val="0"/>
                <w:sz w:val="22"/>
              </w:rPr>
              <w:t>社会公众或服务对象是指因该项目实施而受到影响的部门（单位）、群体或个人。一般采取社会调查的方式。</w:t>
            </w:r>
          </w:p>
        </w:tc>
      </w:tr>
    </w:tbl>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pPr>
    </w:p>
    <w:p>
      <w:pPr>
        <w:ind w:firstLine="0" w:firstLineChars="0"/>
        <w:jc w:val="center"/>
        <w:rPr>
          <w:rFonts w:ascii="仿宋_GB2312"/>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4"/>
        <w:ind w:firstLine="643"/>
      </w:pPr>
      <w:bookmarkStart w:id="22" w:name="_Toc165277234"/>
      <w:bookmarkStart w:id="23" w:name="_Hlk67586038"/>
      <w:r>
        <w:t>3.</w:t>
      </w:r>
      <w:r>
        <w:rPr>
          <w:rFonts w:hint="eastAsia"/>
        </w:rPr>
        <w:t>评价方法</w:t>
      </w:r>
      <w:bookmarkEnd w:id="22"/>
    </w:p>
    <w:bookmarkEnd w:id="23"/>
    <w:p>
      <w:pPr>
        <w:spacing w:line="360" w:lineRule="auto"/>
        <w:ind w:firstLine="560"/>
        <w:rPr>
          <w:rFonts w:ascii="仿宋_GB2312"/>
        </w:rPr>
      </w:pPr>
      <w:r>
        <w:rPr>
          <w:rFonts w:hint="eastAsia" w:ascii="仿宋_GB2312"/>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rPr>
      </w:pPr>
      <w:r>
        <w:rPr>
          <w:rFonts w:hint="eastAsia" w:ascii="仿宋_GB2312"/>
        </w:rPr>
        <w:t>（1）成本效益分析法。是指将投入与产出、效益进行关联性分析的方法。</w:t>
      </w:r>
    </w:p>
    <w:p>
      <w:pPr>
        <w:spacing w:line="360" w:lineRule="auto"/>
        <w:ind w:firstLine="560"/>
        <w:rPr>
          <w:rFonts w:ascii="仿宋_GB2312"/>
        </w:rPr>
      </w:pPr>
      <w:r>
        <w:rPr>
          <w:rFonts w:hint="eastAsia" w:ascii="仿宋_GB2312"/>
        </w:rPr>
        <w:t>（2）比较法。是指将实施情况与绩效目标、历史情况、不同部门和地区同类支出情况进行比较的方法。</w:t>
      </w:r>
    </w:p>
    <w:p>
      <w:pPr>
        <w:spacing w:line="360" w:lineRule="auto"/>
        <w:ind w:firstLine="560"/>
        <w:rPr>
          <w:rFonts w:ascii="仿宋_GB2312"/>
        </w:rPr>
      </w:pPr>
      <w:r>
        <w:rPr>
          <w:rFonts w:hint="eastAsia" w:ascii="仿宋_GB2312"/>
        </w:rPr>
        <w:t>（3）因素分析法。是指综合分析影响绩效目标实现、实施效果的内外部因素的方法。</w:t>
      </w:r>
    </w:p>
    <w:p>
      <w:pPr>
        <w:spacing w:line="360" w:lineRule="auto"/>
        <w:ind w:firstLine="560"/>
        <w:rPr>
          <w:rFonts w:ascii="仿宋_GB2312"/>
        </w:rPr>
      </w:pPr>
      <w:r>
        <w:rPr>
          <w:rFonts w:hint="eastAsia" w:ascii="仿宋_GB2312"/>
        </w:rPr>
        <w:t>（4）最低成本法。是指在绩效目标确定的前提下，成本最小者为优的方法。</w:t>
      </w:r>
    </w:p>
    <w:p>
      <w:pPr>
        <w:spacing w:line="360" w:lineRule="auto"/>
        <w:ind w:firstLine="560"/>
        <w:rPr>
          <w:rFonts w:ascii="仿宋_GB2312"/>
        </w:rPr>
      </w:pPr>
      <w:r>
        <w:rPr>
          <w:rFonts w:hint="eastAsia" w:ascii="仿宋_GB2312"/>
        </w:rPr>
        <w:t>（5）公众评判法。是指通过专家评估、公众问卷及抽样调查等方式进行评判的方法。</w:t>
      </w:r>
    </w:p>
    <w:p>
      <w:pPr>
        <w:spacing w:line="360" w:lineRule="auto"/>
        <w:ind w:firstLine="560"/>
        <w:rPr>
          <w:rFonts w:ascii="仿宋_GB2312"/>
        </w:rPr>
      </w:pPr>
      <w:r>
        <w:rPr>
          <w:rFonts w:hint="eastAsia" w:ascii="仿宋_GB2312"/>
        </w:rPr>
        <w:t>（6）标杆管理法。是指以国内外同行业中较高的绩效水平为标杆进行评判的方法。</w:t>
      </w:r>
    </w:p>
    <w:p>
      <w:pPr>
        <w:spacing w:line="360" w:lineRule="auto"/>
        <w:ind w:firstLine="560"/>
        <w:rPr>
          <w:rFonts w:ascii="仿宋_GB2312"/>
        </w:rPr>
      </w:pPr>
      <w:r>
        <w:rPr>
          <w:rFonts w:hint="eastAsia" w:ascii="仿宋_GB2312"/>
        </w:rPr>
        <w:t>（7）其他评价方法。</w:t>
      </w:r>
    </w:p>
    <w:p>
      <w:pPr>
        <w:spacing w:line="360" w:lineRule="auto"/>
        <w:ind w:firstLine="560"/>
        <w:rPr>
          <w:rFonts w:ascii="仿宋_GB2312"/>
        </w:rPr>
      </w:pPr>
      <w:r>
        <w:rPr>
          <w:rFonts w:hint="eastAsia" w:ascii="仿宋_GB2312"/>
        </w:rPr>
        <w:t>根据本项目京剧院运营经费的特点，本次评价主要采用成本效益分析法</w:t>
      </w:r>
      <w:r>
        <w:rPr>
          <w:rFonts w:ascii="仿宋_GB2312"/>
        </w:rPr>
        <w:t>和</w:t>
      </w:r>
      <w:r>
        <w:rPr>
          <w:rFonts w:hint="eastAsia" w:ascii="仿宋_GB2312"/>
        </w:rPr>
        <w:t>比较法，对项目总预算和明细预算的内容、标准、计划是否经济合理进行深入分析，以考察实际产出和效益是否达到预期。</w:t>
      </w:r>
    </w:p>
    <w:p>
      <w:pPr>
        <w:pStyle w:val="4"/>
        <w:ind w:firstLine="643"/>
      </w:pPr>
      <w:bookmarkStart w:id="24" w:name="_Toc165277235"/>
      <w:r>
        <w:t>4.</w:t>
      </w:r>
      <w:r>
        <w:rPr>
          <w:rFonts w:hint="eastAsia"/>
        </w:rPr>
        <w:t>评价标准</w:t>
      </w:r>
      <w:bookmarkEnd w:id="24"/>
    </w:p>
    <w:p>
      <w:pPr>
        <w:spacing w:line="360" w:lineRule="auto"/>
        <w:ind w:firstLine="560"/>
        <w:rPr>
          <w:rFonts w:ascii="仿宋_GB2312"/>
        </w:rPr>
      </w:pPr>
      <w:r>
        <w:rPr>
          <w:rFonts w:hint="eastAsia" w:ascii="仿宋_GB2312"/>
        </w:rPr>
        <w:t>绩效评价标准主要包括计划标准、行业标准、历史标准等，用于对绩效指标完成情况进行比较。</w:t>
      </w:r>
    </w:p>
    <w:p>
      <w:pPr>
        <w:spacing w:line="360" w:lineRule="auto"/>
        <w:ind w:firstLine="560"/>
        <w:rPr>
          <w:rFonts w:ascii="仿宋_GB2312"/>
        </w:rPr>
      </w:pPr>
      <w:r>
        <w:rPr>
          <w:rFonts w:hint="eastAsia" w:ascii="仿宋_GB2312"/>
        </w:rPr>
        <w:t>（1）计划标准。指以预先制定的目标、计划、预算、定额等作为评价标准。</w:t>
      </w:r>
    </w:p>
    <w:p>
      <w:pPr>
        <w:spacing w:line="360" w:lineRule="auto"/>
        <w:ind w:firstLine="560"/>
        <w:rPr>
          <w:rFonts w:ascii="仿宋_GB2312"/>
        </w:rPr>
      </w:pPr>
      <w:r>
        <w:rPr>
          <w:rFonts w:hint="eastAsia" w:ascii="仿宋_GB2312"/>
        </w:rPr>
        <w:t>（2）行业标准。指参照国家公布的行业指标数据制定的评价标准。</w:t>
      </w:r>
    </w:p>
    <w:p>
      <w:pPr>
        <w:spacing w:line="360" w:lineRule="auto"/>
        <w:ind w:firstLine="560"/>
        <w:rPr>
          <w:rFonts w:ascii="仿宋_GB2312"/>
        </w:rPr>
      </w:pPr>
      <w:r>
        <w:rPr>
          <w:rFonts w:hint="eastAsia" w:ascii="仿宋_GB2312"/>
        </w:rPr>
        <w:t>（3）历史标准。指参照历史数据制定的评价标准，为体现绩效改进的原则，在可实现的条件下应当确定相对较高的评价标准。</w:t>
      </w:r>
    </w:p>
    <w:p>
      <w:pPr>
        <w:spacing w:line="360" w:lineRule="auto"/>
        <w:ind w:firstLine="560"/>
        <w:rPr>
          <w:rFonts w:ascii="仿宋_GB2312"/>
        </w:rPr>
      </w:pPr>
      <w:r>
        <w:rPr>
          <w:rFonts w:hint="eastAsia" w:ascii="仿宋_GB2312"/>
        </w:rPr>
        <w:t>在上述评价标准的基础上，本次评价依据以下文件为重要指导和准绳：</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《中共中央国务院关于全面实施预算绩效管理的意见》（中发〔2018〕34号）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《关于印发&lt;乌鲁木齐市本级部门预算绩效目标管理暂行办法&gt;的通知》（乌财预〔2018〕56号）</w:t>
      </w:r>
    </w:p>
    <w:p>
      <w:pPr>
        <w:spacing w:line="360" w:lineRule="auto"/>
        <w:ind w:firstLine="560" w:firstLineChars="0"/>
        <w:rPr>
          <w:rFonts w:ascii="仿宋_GB2312"/>
        </w:rPr>
      </w:pPr>
      <w:r>
        <w:rPr>
          <w:rFonts w:hint="eastAsia" w:ascii="黑体" w:hAnsi="黑体" w:eastAsia="黑体" w:cs="Times New Roman"/>
          <w:szCs w:val="28"/>
        </w:rPr>
        <w:t>·</w:t>
      </w:r>
      <w:r>
        <w:rPr>
          <w:rFonts w:hint="eastAsia" w:ascii="仿宋_GB2312"/>
        </w:rPr>
        <w:t>《关于做好2019年部门预算项目支出绩效目标管理有关事宜的通知》（乌财预〔2018〕76号）</w:t>
      </w:r>
    </w:p>
    <w:p>
      <w:pPr>
        <w:spacing w:line="360" w:lineRule="auto"/>
        <w:ind w:firstLine="560"/>
        <w:rPr>
          <w:rFonts w:ascii="仿宋_GB2312"/>
        </w:rPr>
      </w:pPr>
      <w:r>
        <w:rPr>
          <w:rFonts w:hint="eastAsia" w:ascii="黑体" w:hAnsi="黑体" w:eastAsia="黑体" w:cs="Times New Roman"/>
          <w:szCs w:val="28"/>
        </w:rPr>
        <w:t>·</w:t>
      </w:r>
      <w:r>
        <w:rPr>
          <w:rFonts w:hint="eastAsia" w:ascii="仿宋_GB2312"/>
        </w:rPr>
        <w:t>《项目支出绩效评价管理办法》（财预〔2020〕10号）</w:t>
      </w:r>
      <w:bookmarkStart w:id="25" w:name="_Toc165277236"/>
      <w:bookmarkStart w:id="26" w:name="_Toc67911607"/>
    </w:p>
    <w:p>
      <w:pPr>
        <w:spacing w:line="360" w:lineRule="auto"/>
        <w:ind w:firstLine="560"/>
        <w:rPr>
          <w:rFonts w:ascii="仿宋_GB2312"/>
        </w:rPr>
      </w:pPr>
      <w:r>
        <w:rPr>
          <w:rFonts w:hint="eastAsia" w:ascii="仿宋_GB2312"/>
        </w:rPr>
        <w:t>·《中华人民共和国公共文化服务保障法》</w:t>
      </w:r>
    </w:p>
    <w:p>
      <w:pPr>
        <w:spacing w:line="360" w:lineRule="auto"/>
        <w:ind w:firstLine="840" w:firstLineChars="300"/>
        <w:rPr>
          <w:rFonts w:ascii="仿宋_GB2312"/>
        </w:rPr>
      </w:pPr>
      <w:r>
        <w:rPr>
          <w:rFonts w:ascii="仿宋_GB2312"/>
        </w:rPr>
        <w:t>《</w:t>
      </w:r>
      <w:r>
        <w:rPr>
          <w:rFonts w:hint="eastAsia" w:ascii="仿宋_GB2312"/>
        </w:rPr>
        <w:t>关于规范全市机关事业单位临时聘用人员管理的工作方案</w:t>
      </w:r>
      <w:r>
        <w:rPr>
          <w:rFonts w:ascii="仿宋_GB2312"/>
        </w:rPr>
        <w:t>》（乌党办发【</w:t>
      </w:r>
      <w:r>
        <w:rPr>
          <w:rFonts w:hint="eastAsia" w:ascii="仿宋_GB2312"/>
        </w:rPr>
        <w:t>2</w:t>
      </w:r>
      <w:r>
        <w:rPr>
          <w:rFonts w:ascii="仿宋_GB2312"/>
        </w:rPr>
        <w:t>021】</w:t>
      </w:r>
      <w:r>
        <w:rPr>
          <w:rFonts w:hint="eastAsia" w:ascii="仿宋_GB2312"/>
        </w:rPr>
        <w:t>4</w:t>
      </w:r>
      <w:r>
        <w:rPr>
          <w:rFonts w:ascii="仿宋_GB2312"/>
        </w:rPr>
        <w:t>9号）</w:t>
      </w:r>
    </w:p>
    <w:p>
      <w:pPr>
        <w:spacing w:line="360" w:lineRule="auto"/>
        <w:ind w:firstLine="840" w:firstLineChars="300"/>
        <w:rPr>
          <w:rFonts w:ascii="仿宋_GB2312"/>
        </w:rPr>
      </w:pPr>
      <w:r>
        <w:rPr>
          <w:rFonts w:ascii="仿宋_GB2312"/>
        </w:rPr>
        <w:t>《文化行业人员密集场所安全防范规范手册》</w:t>
      </w:r>
    </w:p>
    <w:p>
      <w:pPr>
        <w:spacing w:line="360" w:lineRule="auto"/>
        <w:ind w:firstLine="840" w:firstLineChars="300"/>
        <w:rPr>
          <w:rFonts w:hint="eastAsia" w:ascii="仿宋_GB2312"/>
        </w:rPr>
      </w:pPr>
      <w:r>
        <w:rPr>
          <w:rFonts w:ascii="仿宋_GB2312"/>
        </w:rPr>
        <w:t>《建筑消防设施管理规范》</w:t>
      </w:r>
    </w:p>
    <w:p>
      <w:pPr>
        <w:pStyle w:val="3"/>
        <w:ind w:firstLine="643"/>
        <w:rPr>
          <w:rFonts w:ascii="仿宋" w:hAnsi="仿宋" w:eastAsia="仿宋"/>
          <w:lang w:bidi="en-US"/>
        </w:rPr>
      </w:pPr>
      <w:r>
        <w:rPr>
          <w:rFonts w:hint="eastAsia" w:ascii="仿宋" w:hAnsi="仿宋" w:eastAsia="仿宋"/>
          <w:lang w:bidi="en-US"/>
        </w:rPr>
        <w:t>（三）绩效评价工作过程</w:t>
      </w:r>
      <w:bookmarkEnd w:id="25"/>
      <w:bookmarkEnd w:id="26"/>
    </w:p>
    <w:p>
      <w:pPr>
        <w:spacing w:line="360" w:lineRule="auto"/>
        <w:ind w:firstLine="560"/>
        <w:rPr>
          <w:rFonts w:ascii="仿宋_GB2312"/>
        </w:rPr>
      </w:pPr>
      <w:r>
        <w:rPr>
          <w:rFonts w:hint="eastAsia" w:ascii="仿宋_GB231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pStyle w:val="2"/>
        <w:ind w:firstLine="0" w:firstLineChars="0"/>
        <w:jc w:val="left"/>
        <w:rPr>
          <w:rFonts w:ascii="仿宋" w:hAnsi="仿宋" w:eastAsia="仿宋"/>
          <w:sz w:val="36"/>
          <w:szCs w:val="36"/>
          <w:lang w:bidi="en-US"/>
        </w:rPr>
      </w:pPr>
      <w:bookmarkStart w:id="27" w:name="_Toc67911608"/>
      <w:bookmarkStart w:id="28" w:name="_Toc165277237"/>
      <w:r>
        <w:rPr>
          <w:rFonts w:hint="eastAsia" w:ascii="仿宋" w:hAnsi="仿宋" w:eastAsia="仿宋"/>
          <w:sz w:val="36"/>
          <w:szCs w:val="36"/>
          <w:lang w:bidi="en-US"/>
        </w:rPr>
        <w:t>三、综合评价情况及评价结论</w:t>
      </w:r>
      <w:bookmarkEnd w:id="27"/>
      <w:bookmarkEnd w:id="28"/>
    </w:p>
    <w:p>
      <w:pPr>
        <w:pStyle w:val="3"/>
        <w:ind w:firstLine="643"/>
        <w:rPr>
          <w:rFonts w:ascii="仿宋" w:hAnsi="仿宋" w:eastAsia="仿宋"/>
          <w:lang w:bidi="en-US"/>
        </w:rPr>
      </w:pPr>
      <w:bookmarkStart w:id="29" w:name="_Toc165277238"/>
      <w:bookmarkStart w:id="30" w:name="_Toc67911609"/>
      <w:r>
        <w:rPr>
          <w:rFonts w:hint="eastAsia" w:ascii="仿宋" w:hAnsi="仿宋" w:eastAsia="仿宋"/>
          <w:lang w:bidi="en-US"/>
        </w:rPr>
        <w:t>（一）评价结论</w:t>
      </w:r>
      <w:bookmarkEnd w:id="29"/>
      <w:bookmarkEnd w:id="30"/>
    </w:p>
    <w:p>
      <w:pPr>
        <w:spacing w:line="360" w:lineRule="auto"/>
        <w:ind w:firstLine="560"/>
        <w:rPr>
          <w:rFonts w:ascii="仿宋_GB2312"/>
          <w:szCs w:val="28"/>
        </w:rPr>
      </w:pPr>
      <w:r>
        <w:rPr>
          <w:rFonts w:hint="eastAsia" w:ascii="仿宋_GB2312"/>
          <w:szCs w:val="28"/>
        </w:rPr>
        <w:t>结合项目特点，制定符合项目实际的绩效评价指标体系及评分标准，通过数据采集、问卷调查及访谈等形式，对2</w:t>
      </w:r>
      <w:r>
        <w:rPr>
          <w:rFonts w:ascii="仿宋_GB2312"/>
          <w:szCs w:val="28"/>
        </w:rPr>
        <w:t>023</w:t>
      </w:r>
      <w:r>
        <w:rPr>
          <w:rFonts w:hint="eastAsia" w:ascii="仿宋_GB2312"/>
          <w:szCs w:val="28"/>
        </w:rPr>
        <w:t>年</w:t>
      </w:r>
      <w:r>
        <w:rPr>
          <w:rFonts w:hint="eastAsia" w:ascii="仿宋_GB2312"/>
        </w:rPr>
        <w:t>京剧院运营经费</w:t>
      </w:r>
      <w:r>
        <w:rPr>
          <w:rFonts w:hint="eastAsia" w:ascii="仿宋_GB2312"/>
          <w:szCs w:val="28"/>
        </w:rPr>
        <w:t>进行客观评价，最终评分结果为：总分为97.23分，绩效评级为“优”。</w:t>
      </w:r>
    </w:p>
    <w:p>
      <w:pPr>
        <w:spacing w:line="360" w:lineRule="auto"/>
        <w:ind w:firstLine="560"/>
        <w:rPr>
          <w:rFonts w:ascii="仿宋_GB2312"/>
          <w:szCs w:val="28"/>
        </w:rPr>
      </w:pPr>
      <w:r>
        <w:rPr>
          <w:rFonts w:hint="eastAsia" w:ascii="仿宋_GB2312"/>
          <w:szCs w:val="28"/>
        </w:rPr>
        <w:t>项目各部分权重和绩效分值如附表所示：</w:t>
      </w:r>
    </w:p>
    <w:p>
      <w:pPr>
        <w:spacing w:line="360" w:lineRule="auto"/>
        <w:ind w:firstLine="0" w:firstLineChars="0"/>
        <w:jc w:val="center"/>
        <w:rPr>
          <w:rFonts w:ascii="仿宋_GB2312"/>
          <w:b/>
          <w:bCs/>
          <w:szCs w:val="28"/>
        </w:rPr>
      </w:pPr>
      <w:r>
        <w:rPr>
          <w:rFonts w:ascii="仿宋_GB2312"/>
          <w:b/>
          <w:bCs/>
          <w:szCs w:val="28"/>
        </w:rPr>
        <w:t xml:space="preserve">  </w:t>
      </w:r>
      <w:r>
        <w:rPr>
          <w:rFonts w:hint="eastAsia" w:ascii="仿宋_GB2312"/>
          <w:b/>
          <w:bCs/>
          <w:szCs w:val="28"/>
        </w:rPr>
        <w:t>项目各部分权重和绩效分值</w:t>
      </w:r>
    </w:p>
    <w:tbl>
      <w:tblPr>
        <w:tblStyle w:val="16"/>
        <w:tblW w:w="90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kern w:val="0"/>
                <w:sz w:val="24"/>
                <w:szCs w:val="24"/>
              </w:rPr>
            </w:pPr>
            <w:r>
              <w:rPr>
                <w:rFonts w:hint="eastAsia" w:ascii="仿宋_GB2312" w:hAnsi="Gungsuh" w:cs="宋体"/>
                <w:b/>
                <w:bCs/>
                <w:kern w:val="0"/>
                <w:sz w:val="24"/>
                <w:szCs w:val="24"/>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1039" w:type="dxa"/>
            <w:tcBorders>
              <w:tl2br w:val="nil"/>
              <w:tr2bl w:val="nil"/>
            </w:tcBorders>
            <w:shd w:val="clear" w:color="000000" w:fill="FFFFFF"/>
            <w:vAlign w:val="center"/>
          </w:tcPr>
          <w:p>
            <w:pPr>
              <w:widowControl/>
              <w:ind w:firstLine="240" w:firstLineChars="100"/>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3.45</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69.08</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产出数量</w:t>
            </w:r>
          </w:p>
        </w:tc>
        <w:tc>
          <w:tcPr>
            <w:tcW w:w="2693" w:type="dxa"/>
            <w:tcBorders>
              <w:tl2br w:val="nil"/>
              <w:tr2bl w:val="nil"/>
            </w:tcBorders>
            <w:shd w:val="clear" w:color="auto" w:fill="FFFFFF"/>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聘用门岗人数</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1039" w:type="dxa"/>
            <w:vMerge w:val="restart"/>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95.7</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聘用消防人数</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2.57</w:t>
            </w:r>
          </w:p>
        </w:tc>
        <w:tc>
          <w:tcPr>
            <w:tcW w:w="1039" w:type="dxa"/>
            <w:vMerge w:val="continue"/>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聘用保洁人数</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1039" w:type="dxa"/>
            <w:vMerge w:val="continue"/>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安保人员日常巡查次数</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w:t>
            </w:r>
            <w:r>
              <w:rPr>
                <w:rFonts w:ascii="仿宋_GB2312" w:hAnsi="宋体" w:cs="宋体"/>
                <w:kern w:val="0"/>
                <w:sz w:val="24"/>
                <w:szCs w:val="24"/>
              </w:rPr>
              <w:t>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pPr>
              <w:ind w:firstLine="0" w:firstLineChars="0"/>
              <w:jc w:val="center"/>
              <w:rPr>
                <w:rFonts w:ascii="仿宋_GB2312" w:hAnsi="宋体" w:cs="宋体"/>
                <w:kern w:val="0"/>
                <w:sz w:val="24"/>
                <w:szCs w:val="24"/>
              </w:rPr>
            </w:pPr>
            <w:r>
              <w:rPr>
                <w:rFonts w:hint="eastAsia" w:ascii="仿宋_GB2312" w:hAnsi="宋体" w:cs="宋体"/>
                <w:kern w:val="0"/>
                <w:sz w:val="24"/>
                <w:szCs w:val="24"/>
              </w:rPr>
              <w:t>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采购完成时间</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每月物业管理服务支出成本</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ascii="仿宋_GB2312" w:hAnsi="宋体" w:cs="宋体"/>
                <w:kern w:val="0"/>
                <w:sz w:val="24"/>
                <w:szCs w:val="24"/>
              </w:rPr>
              <w:t>10</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9.21</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92.1</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37" w:hRule="atLeast"/>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效益</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保障京剧院正常有效运行</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ascii="仿宋_GB2312" w:hAnsi="宋体" w:cs="宋体"/>
                <w:kern w:val="0"/>
                <w:sz w:val="24"/>
                <w:szCs w:val="24"/>
              </w:rPr>
              <w:t>1</w:t>
            </w:r>
            <w:r>
              <w:rPr>
                <w:rFonts w:hint="eastAsia" w:ascii="仿宋_GB2312" w:hAnsi="宋体" w:cs="宋体"/>
                <w:kern w:val="0"/>
                <w:sz w:val="24"/>
                <w:szCs w:val="24"/>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15</w:t>
            </w:r>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42" w:hRule="atLeast"/>
          <w:jc w:val="center"/>
        </w:trPr>
        <w:tc>
          <w:tcPr>
            <w:tcW w:w="1550"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ascii="宋体" w:hAnsi="宋体" w:eastAsia="宋体" w:cs="宋体"/>
                <w:kern w:val="0"/>
                <w:sz w:val="22"/>
              </w:rPr>
              <w:t>满意度指标完成情况分析</w:t>
            </w: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kern w:val="0"/>
                <w:sz w:val="24"/>
                <w:szCs w:val="24"/>
              </w:rPr>
            </w:pPr>
            <w:r>
              <w:rPr>
                <w:rFonts w:hint="eastAsia" w:ascii="宋体" w:hAnsi="宋体" w:eastAsia="宋体" w:cs="宋体"/>
                <w:kern w:val="0"/>
                <w:sz w:val="22"/>
              </w:rPr>
              <w:t>满意度指标</w:t>
            </w:r>
          </w:p>
        </w:tc>
        <w:tc>
          <w:tcPr>
            <w:tcW w:w="2693" w:type="dxa"/>
            <w:tcBorders>
              <w:tl2br w:val="nil"/>
              <w:tr2bl w:val="nil"/>
            </w:tcBorders>
            <w:shd w:val="clear" w:color="auto" w:fill="FFFFFF"/>
            <w:vAlign w:val="center"/>
          </w:tcPr>
          <w:p>
            <w:pPr>
              <w:widowControl/>
              <w:ind w:firstLine="0" w:firstLineChars="0"/>
              <w:jc w:val="center"/>
              <w:rPr>
                <w:rFonts w:ascii="宋体" w:hAnsi="宋体" w:eastAsia="宋体" w:cs="宋体"/>
                <w:kern w:val="0"/>
                <w:sz w:val="22"/>
              </w:rPr>
            </w:pPr>
            <w:r>
              <w:rPr>
                <w:rFonts w:hint="eastAsia" w:ascii="宋体" w:hAnsi="宋体" w:eastAsia="宋体" w:cs="宋体"/>
                <w:kern w:val="0"/>
                <w:sz w:val="22"/>
              </w:rPr>
              <w:t>观众满意度</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100</w:t>
            </w:r>
            <w:r>
              <w:rPr>
                <w:rFonts w:ascii="仿宋_GB2312" w:hAnsi="宋体" w:cs="宋体"/>
                <w:kern w:val="0"/>
                <w:sz w:val="24"/>
                <w:szCs w:val="24"/>
              </w:rPr>
              <w:t>%</w:t>
            </w:r>
          </w:p>
        </w:tc>
      </w:tr>
    </w:tbl>
    <w:p>
      <w:pPr>
        <w:pStyle w:val="3"/>
        <w:ind w:firstLine="643"/>
        <w:rPr>
          <w:rFonts w:ascii="仿宋" w:hAnsi="仿宋" w:eastAsia="仿宋"/>
          <w:lang w:bidi="en-US"/>
        </w:rPr>
      </w:pPr>
      <w:bookmarkStart w:id="31" w:name="_Toc67911610"/>
      <w:bookmarkStart w:id="32" w:name="_Toc165277239"/>
      <w:r>
        <w:rPr>
          <w:rFonts w:hint="eastAsia" w:ascii="仿宋" w:hAnsi="仿宋" w:eastAsia="仿宋"/>
          <w:lang w:bidi="en-US"/>
        </w:rPr>
        <w:t>（二）主要绩效</w:t>
      </w:r>
      <w:bookmarkEnd w:id="31"/>
      <w:bookmarkEnd w:id="32"/>
    </w:p>
    <w:p>
      <w:pPr>
        <w:spacing w:line="360" w:lineRule="auto"/>
        <w:ind w:firstLine="548" w:firstLineChars="196"/>
        <w:rPr>
          <w:rFonts w:ascii="仿宋_GB2312"/>
          <w:bCs/>
          <w:szCs w:val="28"/>
        </w:rPr>
      </w:pPr>
      <w:r>
        <w:rPr>
          <w:rFonts w:hint="eastAsia" w:ascii="仿宋_GB2312"/>
          <w:bCs/>
          <w:szCs w:val="28"/>
        </w:rPr>
        <w:t>该项目资金市财政及时拨付，单位在此次评价期间内，有序完成设定目标的部分工作任务，聘用管理人员1人；门岗6人；消防8人；内勤2人；保洁8人；强、弱电工程师4人；水暖工程师2人；电梯管理员1人；院落绿化2人；安保消防及物业人员持证上岗率：100%；人员在岗时间：24小时；有效加强社会稳定：有效加强。</w:t>
      </w:r>
    </w:p>
    <w:p>
      <w:pPr>
        <w:pStyle w:val="2"/>
        <w:ind w:firstLine="0" w:firstLineChars="0"/>
        <w:jc w:val="left"/>
        <w:rPr>
          <w:rFonts w:ascii="仿宋" w:hAnsi="仿宋" w:eastAsia="仿宋"/>
          <w:sz w:val="36"/>
          <w:szCs w:val="36"/>
          <w:lang w:bidi="en-US"/>
        </w:rPr>
      </w:pPr>
      <w:bookmarkStart w:id="33" w:name="_Toc67911611"/>
      <w:bookmarkStart w:id="34" w:name="_Toc165277240"/>
      <w:r>
        <w:rPr>
          <w:rFonts w:hint="eastAsia" w:ascii="仿宋" w:hAnsi="仿宋" w:eastAsia="仿宋"/>
          <w:sz w:val="36"/>
          <w:szCs w:val="36"/>
          <w:lang w:bidi="en-US"/>
        </w:rPr>
        <w:t>四、绩效评价指标分析</w:t>
      </w:r>
      <w:bookmarkEnd w:id="33"/>
      <w:bookmarkEnd w:id="34"/>
    </w:p>
    <w:p>
      <w:pPr>
        <w:pStyle w:val="3"/>
        <w:ind w:firstLine="643"/>
        <w:rPr>
          <w:rFonts w:ascii="仿宋" w:hAnsi="仿宋" w:eastAsia="仿宋"/>
          <w:lang w:bidi="en-US"/>
        </w:rPr>
      </w:pPr>
      <w:bookmarkStart w:id="35" w:name="_Toc165277241"/>
      <w:bookmarkStart w:id="36" w:name="_Toc67911612"/>
      <w:r>
        <w:rPr>
          <w:rFonts w:hint="eastAsia" w:ascii="仿宋" w:hAnsi="仿宋" w:eastAsia="仿宋"/>
          <w:lang w:bidi="en-US"/>
        </w:rPr>
        <w:t>（一）项目决策情况</w:t>
      </w:r>
      <w:bookmarkEnd w:id="35"/>
      <w:bookmarkEnd w:id="36"/>
    </w:p>
    <w:p>
      <w:pPr>
        <w:spacing w:line="360" w:lineRule="auto"/>
        <w:ind w:firstLine="560"/>
        <w:rPr>
          <w:rFonts w:ascii="仿宋_GB2312"/>
          <w:szCs w:val="28"/>
        </w:rPr>
      </w:pPr>
      <w:r>
        <w:rPr>
          <w:rFonts w:hint="eastAsia" w:ascii="仿宋_GB2312"/>
          <w:szCs w:val="28"/>
        </w:rPr>
        <w:t>项目决算指标由3个二级指标和6个三级指标构成，权重为</w:t>
      </w:r>
      <w:r>
        <w:rPr>
          <w:rFonts w:ascii="仿宋_GB2312"/>
          <w:szCs w:val="28"/>
        </w:rPr>
        <w:t>20</w:t>
      </w:r>
      <w:r>
        <w:rPr>
          <w:rFonts w:hint="eastAsia" w:ascii="仿宋_GB2312"/>
          <w:szCs w:val="28"/>
        </w:rPr>
        <w:t>分，实际得分20分。</w:t>
      </w:r>
    </w:p>
    <w:p>
      <w:pPr>
        <w:pStyle w:val="4"/>
        <w:ind w:firstLine="643"/>
      </w:pPr>
      <w:bookmarkStart w:id="37" w:name="_Toc165277242"/>
      <w:r>
        <w:t>1.</w:t>
      </w:r>
      <w:r>
        <w:rPr>
          <w:rFonts w:hint="eastAsia"/>
        </w:rPr>
        <w:t>项目立项</w:t>
      </w:r>
      <w:bookmarkEnd w:id="37"/>
    </w:p>
    <w:p>
      <w:pPr>
        <w:spacing w:line="360" w:lineRule="auto"/>
        <w:ind w:firstLine="562"/>
        <w:rPr>
          <w:rFonts w:ascii="仿宋_GB2312"/>
          <w:szCs w:val="28"/>
        </w:rPr>
      </w:pPr>
      <w:r>
        <w:rPr>
          <w:rFonts w:hint="eastAsia" w:ascii="仿宋_GB2312"/>
          <w:b/>
          <w:bCs/>
          <w:szCs w:val="28"/>
        </w:rPr>
        <w:t>立项依据充分性：</w:t>
      </w:r>
      <w:r>
        <w:rPr>
          <w:rFonts w:hint="eastAsia" w:ascii="仿宋_GB2312"/>
        </w:rPr>
        <w:t>市领导批示（103266）号及乌财科教【2023】2号，</w:t>
      </w:r>
      <w:r>
        <w:rPr>
          <w:rFonts w:hint="eastAsia" w:ascii="仿宋_GB2312"/>
          <w:szCs w:val="28"/>
        </w:rPr>
        <w:t>项目立项符合国家法律法规、政策要求。同时，项目与部门职责范围相符，属于部门履职所需。此外，本项目属于公共财政支持范围，符合中央、地方事权支出责任划分原则。因此，立项依据充分，得4分。</w:t>
      </w:r>
    </w:p>
    <w:p>
      <w:pPr>
        <w:spacing w:line="360" w:lineRule="auto"/>
        <w:ind w:firstLine="562"/>
        <w:rPr>
          <w:rFonts w:ascii="仿宋_GB2312"/>
          <w:szCs w:val="28"/>
        </w:rPr>
      </w:pPr>
      <w:r>
        <w:rPr>
          <w:rFonts w:hint="eastAsia" w:ascii="仿宋_GB2312"/>
          <w:b/>
          <w:bCs/>
          <w:szCs w:val="28"/>
        </w:rPr>
        <w:t>立项程序规范性</w:t>
      </w:r>
      <w:r>
        <w:rPr>
          <w:rFonts w:ascii="仿宋_GB2312"/>
          <w:b/>
          <w:bCs/>
          <w:szCs w:val="28"/>
        </w:rPr>
        <w:t>:</w:t>
      </w:r>
      <w:r>
        <w:rPr>
          <w:rFonts w:hint="eastAsia"/>
        </w:rPr>
        <w:t xml:space="preserve"> 我团安保部门通过书面申请，报请单位支委会会议研究同意，上报文旅局党组会会议同意，提交公共资源交易中心进行招标，</w:t>
      </w:r>
      <w:r>
        <w:rPr>
          <w:rFonts w:hint="eastAsia" w:ascii="仿宋_GB2312"/>
          <w:szCs w:val="28"/>
        </w:rPr>
        <w:t>项目按照规定的程序申请设立，审批文件、材料符合相关要求，故立项程序规范，得4分。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8</w:t>
      </w:r>
      <w:r>
        <w:rPr>
          <w:rFonts w:hint="eastAsia" w:ascii="仿宋_GB2312" w:hAnsi="仿宋" w:cs="宋体"/>
          <w:b/>
          <w:kern w:val="0"/>
          <w:szCs w:val="28"/>
        </w:rPr>
        <w:t>分，得分8分。</w:t>
      </w:r>
    </w:p>
    <w:p>
      <w:pPr>
        <w:pStyle w:val="4"/>
        <w:ind w:firstLine="643"/>
      </w:pPr>
      <w:bookmarkStart w:id="38" w:name="_Toc165277243"/>
      <w:r>
        <w:rPr>
          <w:rFonts w:hint="eastAsia"/>
        </w:rPr>
        <w:t>2</w:t>
      </w:r>
      <w:r>
        <w:t>.</w:t>
      </w:r>
      <w:r>
        <w:rPr>
          <w:rFonts w:hint="eastAsia"/>
        </w:rPr>
        <w:t>绩效目标</w:t>
      </w:r>
      <w:bookmarkEnd w:id="38"/>
    </w:p>
    <w:p>
      <w:pPr>
        <w:spacing w:line="360" w:lineRule="auto"/>
        <w:ind w:firstLine="562"/>
        <w:rPr>
          <w:rFonts w:ascii="仿宋_GB2312"/>
          <w:szCs w:val="28"/>
        </w:rPr>
      </w:pPr>
      <w:r>
        <w:rPr>
          <w:rFonts w:hint="eastAsia" w:ascii="仿宋_GB2312"/>
          <w:b/>
          <w:bCs/>
          <w:szCs w:val="28"/>
        </w:rPr>
        <w:t>绩效目标合理性：</w:t>
      </w:r>
      <w:r>
        <w:rPr>
          <w:rFonts w:hint="eastAsia" w:ascii="仿宋_GB2312"/>
          <w:szCs w:val="28"/>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szCs w:val="28"/>
        </w:rPr>
        <w:t>3</w:t>
      </w:r>
      <w:r>
        <w:rPr>
          <w:rFonts w:hint="eastAsia" w:ascii="仿宋_GB2312"/>
          <w:szCs w:val="28"/>
        </w:rPr>
        <w:t>分。</w:t>
      </w:r>
    </w:p>
    <w:p>
      <w:pPr>
        <w:autoSpaceDE w:val="0"/>
        <w:spacing w:line="600" w:lineRule="exact"/>
        <w:ind w:firstLine="562"/>
        <w:rPr>
          <w:rFonts w:ascii="仿宋_GB2312" w:hAnsi="仿宋" w:cs="宋体"/>
          <w:kern w:val="0"/>
          <w:szCs w:val="28"/>
        </w:rPr>
      </w:pPr>
      <w:r>
        <w:rPr>
          <w:rFonts w:hint="eastAsia" w:ascii="仿宋_GB2312" w:hAnsi="仿宋" w:cs="宋体"/>
          <w:b/>
          <w:kern w:val="0"/>
          <w:szCs w:val="28"/>
        </w:rPr>
        <w:t>绩效目标明确性：</w:t>
      </w:r>
      <w:r>
        <w:rPr>
          <w:rFonts w:hint="eastAsia" w:ascii="仿宋_GB2312" w:hAnsi="仿宋" w:cs="宋体"/>
          <w:kern w:val="0"/>
          <w:szCs w:val="28"/>
        </w:rPr>
        <w:t>其中，目标已细化为具体的绩效指标8条，可通过数量指标、质量指标、时效指标、成本指、标益指标及满意度指标予以量化，并具有确切的评价标准，且指标设定均与目标相关。各项指标均能在现实条件下收集到合同、中标通知书、发票及国库集中支付单进行佐证（通过书面提供说明等方式，向对方单位及单位办公室收集，进一步细化），并与当年项目年度计划相对应，故绩效目标明确性指标得分</w:t>
      </w:r>
      <w:r>
        <w:rPr>
          <w:rFonts w:ascii="仿宋_GB2312" w:hAnsi="仿宋" w:cs="宋体"/>
          <w:kern w:val="0"/>
          <w:szCs w:val="28"/>
        </w:rPr>
        <w:t>3</w:t>
      </w:r>
      <w:r>
        <w:rPr>
          <w:rFonts w:hint="eastAsia" w:ascii="仿宋_GB2312" w:hAnsi="仿宋" w:cs="宋体"/>
          <w:kern w:val="0"/>
          <w:szCs w:val="28"/>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分，得分6分。</w:t>
      </w:r>
    </w:p>
    <w:p>
      <w:pPr>
        <w:pStyle w:val="4"/>
        <w:ind w:firstLine="643"/>
      </w:pPr>
      <w:bookmarkStart w:id="39" w:name="_Toc165277244"/>
      <w:r>
        <w:rPr>
          <w:rFonts w:hint="eastAsia"/>
        </w:rPr>
        <w:t>3.资金投入</w:t>
      </w:r>
      <w:bookmarkEnd w:id="39"/>
    </w:p>
    <w:p>
      <w:pPr>
        <w:autoSpaceDE w:val="0"/>
        <w:spacing w:line="600" w:lineRule="exact"/>
        <w:ind w:firstLine="562"/>
        <w:rPr>
          <w:rFonts w:ascii="仿宋_GB2312" w:hAnsi="仿宋" w:cs="宋体"/>
          <w:bCs/>
          <w:kern w:val="0"/>
          <w:szCs w:val="28"/>
        </w:rPr>
      </w:pPr>
      <w:r>
        <w:rPr>
          <w:rFonts w:hint="eastAsia" w:ascii="仿宋_GB2312" w:hAnsi="仿宋" w:cs="宋体"/>
          <w:b/>
          <w:kern w:val="0"/>
          <w:szCs w:val="28"/>
        </w:rPr>
        <w:t>预算编制科学性：</w:t>
      </w:r>
      <w:r>
        <w:rPr>
          <w:rFonts w:hint="eastAsia" w:ascii="仿宋_GB2312" w:hAnsi="仿宋" w:cs="宋体"/>
          <w:bCs/>
          <w:kern w:val="0"/>
          <w:szCs w:val="28"/>
        </w:rPr>
        <w:t>此项目为2020年延续至今的项目，2020年6月通过政府采购方式进行申报，该项目</w:t>
      </w:r>
      <w:r>
        <w:rPr>
          <w:rFonts w:hint="eastAsia" w:ascii="仿宋_GB2312"/>
          <w:bCs/>
          <w:szCs w:val="28"/>
        </w:rPr>
        <w:t>管理人员1人；门岗6人；消防8人；内勤2人；保洁8人；强、弱电工程师4人；水暖工程师2人；电梯管理员1人；院落绿化2人</w:t>
      </w:r>
      <w:r>
        <w:rPr>
          <w:rFonts w:hint="eastAsia" w:ascii="仿宋_GB2312" w:hAnsi="仿宋" w:cs="宋体"/>
          <w:bCs/>
          <w:kern w:val="0"/>
          <w:szCs w:val="28"/>
        </w:rPr>
        <w:t>，每月金额为13.54万元，2</w:t>
      </w:r>
      <w:r>
        <w:rPr>
          <w:rFonts w:ascii="仿宋_GB2312" w:hAnsi="仿宋" w:cs="宋体"/>
          <w:bCs/>
          <w:kern w:val="0"/>
          <w:szCs w:val="28"/>
        </w:rPr>
        <w:t>023年</w:t>
      </w:r>
      <w:r>
        <w:rPr>
          <w:rFonts w:hint="eastAsia" w:ascii="仿宋_GB2312" w:hAnsi="仿宋" w:cs="宋体"/>
          <w:bCs/>
          <w:kern w:val="0"/>
          <w:szCs w:val="28"/>
        </w:rPr>
        <w:t>中标价全年162.48万元；上年结转项目6</w:t>
      </w:r>
      <w:r>
        <w:rPr>
          <w:rFonts w:ascii="仿宋_GB2312" w:hAnsi="仿宋" w:cs="宋体"/>
          <w:bCs/>
          <w:kern w:val="0"/>
          <w:szCs w:val="28"/>
        </w:rPr>
        <w:t>1.02万元，</w:t>
      </w:r>
      <w:r>
        <w:rPr>
          <w:rFonts w:hint="eastAsia" w:ascii="仿宋_GB2312" w:hAnsi="仿宋" w:cs="宋体"/>
          <w:bCs/>
          <w:kern w:val="0"/>
          <w:szCs w:val="28"/>
        </w:rPr>
        <w:t>财政预算</w:t>
      </w:r>
      <w:r>
        <w:rPr>
          <w:rFonts w:hint="eastAsia" w:ascii="仿宋_GB2312"/>
        </w:rPr>
        <w:t>237.42万元</w:t>
      </w:r>
      <w:r>
        <w:rPr>
          <w:rFonts w:hint="eastAsia" w:ascii="仿宋_GB2312" w:hAnsi="仿宋" w:cs="宋体"/>
          <w:bCs/>
          <w:kern w:val="0"/>
          <w:szCs w:val="28"/>
        </w:rPr>
        <w:t>万元。</w:t>
      </w:r>
      <w:r>
        <w:rPr>
          <w:rFonts w:hint="eastAsia" w:ascii="仿宋_GB2312" w:hAnsi="仿宋" w:cs="宋体"/>
          <w:kern w:val="0"/>
          <w:szCs w:val="28"/>
        </w:rPr>
        <w:t>故预算编制科学性指标得分</w:t>
      </w:r>
      <w:r>
        <w:rPr>
          <w:rFonts w:ascii="仿宋_GB2312" w:hAnsi="仿宋" w:cs="宋体"/>
          <w:kern w:val="0"/>
          <w:szCs w:val="28"/>
        </w:rPr>
        <w:t>3</w:t>
      </w:r>
      <w:r>
        <w:rPr>
          <w:rFonts w:hint="eastAsia" w:ascii="仿宋_GB2312" w:hAnsi="仿宋" w:cs="宋体"/>
          <w:kern w:val="0"/>
          <w:szCs w:val="28"/>
        </w:rPr>
        <w:t>分。</w:t>
      </w:r>
    </w:p>
    <w:p>
      <w:pPr>
        <w:spacing w:line="360" w:lineRule="auto"/>
        <w:ind w:firstLine="562"/>
      </w:pPr>
      <w:r>
        <w:rPr>
          <w:rFonts w:hint="eastAsia"/>
          <w:b/>
          <w:bCs/>
        </w:rPr>
        <w:t>资金分配合理性</w:t>
      </w:r>
      <w:r>
        <w:rPr>
          <w:rFonts w:hint="eastAsia"/>
        </w:rPr>
        <w:t>：项目资金总额为</w:t>
      </w:r>
      <w:r>
        <w:rPr>
          <w:rFonts w:ascii="仿宋_GB2312" w:hAnsi="仿宋" w:cs="宋体"/>
          <w:bCs/>
          <w:kern w:val="0"/>
          <w:szCs w:val="28"/>
        </w:rPr>
        <w:t>237.42</w:t>
      </w:r>
      <w:r>
        <w:rPr>
          <w:rFonts w:hint="eastAsia" w:ascii="仿宋_GB2312" w:hAnsi="仿宋" w:cs="宋体"/>
          <w:bCs/>
          <w:kern w:val="0"/>
          <w:szCs w:val="28"/>
        </w:rPr>
        <w:t>万</w:t>
      </w:r>
      <w:r>
        <w:rPr>
          <w:rFonts w:hint="eastAsia"/>
        </w:rPr>
        <w:t>元，按月支付给中标单位，每月支付</w:t>
      </w:r>
      <w:r>
        <w:rPr>
          <w:rFonts w:hint="eastAsia" w:ascii="仿宋_GB2312" w:hAnsi="仿宋" w:cs="宋体"/>
          <w:bCs/>
          <w:kern w:val="0"/>
          <w:szCs w:val="28"/>
        </w:rPr>
        <w:t>13.54万</w:t>
      </w:r>
      <w:r>
        <w:rPr>
          <w:rFonts w:hint="eastAsia"/>
        </w:rPr>
        <w:t>元，在项目运作后，可以完全正常开展</w:t>
      </w:r>
      <w:r>
        <w:rPr>
          <w:rFonts w:hint="eastAsia" w:ascii="仿宋_GB2312" w:hAnsi="仿宋" w:cs="宋体"/>
          <w:b/>
          <w:kern w:val="0"/>
          <w:szCs w:val="28"/>
        </w:rPr>
        <w:t>。</w:t>
      </w:r>
      <w:r>
        <w:rPr>
          <w:rFonts w:hint="eastAsia" w:ascii="仿宋_GB2312" w:hAnsi="仿宋" w:cs="宋体"/>
          <w:kern w:val="0"/>
          <w:szCs w:val="28"/>
        </w:rPr>
        <w:t>故资金分配合理性指标得分</w:t>
      </w:r>
      <w:r>
        <w:rPr>
          <w:rFonts w:ascii="仿宋_GB2312" w:hAnsi="仿宋" w:cs="宋体"/>
          <w:kern w:val="0"/>
          <w:szCs w:val="28"/>
        </w:rPr>
        <w:t>3</w:t>
      </w:r>
      <w:r>
        <w:rPr>
          <w:rFonts w:hint="eastAsia" w:ascii="仿宋_GB2312" w:hAnsi="仿宋" w:cs="宋体"/>
          <w:kern w:val="0"/>
          <w:szCs w:val="28"/>
        </w:rPr>
        <w:t>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分，得分6分。</w:t>
      </w:r>
    </w:p>
    <w:p>
      <w:pPr>
        <w:pStyle w:val="3"/>
        <w:ind w:firstLine="643"/>
        <w:rPr>
          <w:rFonts w:ascii="仿宋" w:hAnsi="仿宋" w:eastAsia="仿宋"/>
          <w:lang w:bidi="en-US"/>
        </w:rPr>
      </w:pPr>
      <w:bookmarkStart w:id="40" w:name="_Toc67911613"/>
      <w:bookmarkStart w:id="41" w:name="_Toc165277245"/>
      <w:r>
        <w:rPr>
          <w:rFonts w:hint="eastAsia" w:ascii="仿宋" w:hAnsi="仿宋" w:eastAsia="仿宋"/>
          <w:lang w:bidi="en-US"/>
        </w:rPr>
        <w:t>（二）项目过程情况</w:t>
      </w:r>
      <w:bookmarkEnd w:id="40"/>
      <w:bookmarkEnd w:id="41"/>
    </w:p>
    <w:p>
      <w:pPr>
        <w:spacing w:line="360" w:lineRule="auto"/>
        <w:ind w:firstLine="560"/>
        <w:rPr>
          <w:rFonts w:ascii="仿宋_GB2312"/>
          <w:szCs w:val="28"/>
        </w:rPr>
      </w:pPr>
      <w:r>
        <w:rPr>
          <w:rFonts w:hint="eastAsia" w:ascii="仿宋_GB2312"/>
          <w:szCs w:val="28"/>
        </w:rPr>
        <w:t>项目过程指标由2个二级指标和</w:t>
      </w:r>
      <w:r>
        <w:rPr>
          <w:rFonts w:ascii="仿宋_GB2312"/>
          <w:szCs w:val="28"/>
        </w:rPr>
        <w:t>5</w:t>
      </w:r>
      <w:r>
        <w:rPr>
          <w:rFonts w:hint="eastAsia" w:ascii="仿宋_GB2312"/>
          <w:szCs w:val="28"/>
        </w:rPr>
        <w:t>个三级指标构成，权重为</w:t>
      </w:r>
      <w:r>
        <w:rPr>
          <w:rFonts w:ascii="仿宋_GB2312"/>
          <w:szCs w:val="28"/>
        </w:rPr>
        <w:t>20</w:t>
      </w:r>
      <w:r>
        <w:rPr>
          <w:rFonts w:hint="eastAsia" w:ascii="仿宋_GB2312"/>
          <w:szCs w:val="28"/>
        </w:rPr>
        <w:t>分，实际得分20分。</w:t>
      </w:r>
    </w:p>
    <w:p>
      <w:pPr>
        <w:pStyle w:val="4"/>
        <w:ind w:firstLine="643"/>
      </w:pPr>
      <w:bookmarkStart w:id="42" w:name="_Toc165277246"/>
      <w:r>
        <w:t>1.</w:t>
      </w:r>
      <w:r>
        <w:rPr>
          <w:rFonts w:hint="eastAsia"/>
        </w:rPr>
        <w:t>资金管理</w:t>
      </w:r>
      <w:bookmarkEnd w:id="42"/>
    </w:p>
    <w:p>
      <w:pPr>
        <w:spacing w:line="360" w:lineRule="auto"/>
        <w:ind w:firstLine="562"/>
        <w:rPr>
          <w:rFonts w:ascii="仿宋_GB2312"/>
          <w:szCs w:val="28"/>
        </w:rPr>
      </w:pPr>
      <w:r>
        <w:rPr>
          <w:rFonts w:hint="eastAsia" w:ascii="仿宋_GB2312"/>
          <w:b/>
          <w:bCs/>
          <w:szCs w:val="28"/>
        </w:rPr>
        <w:t>资金到位率：</w:t>
      </w:r>
      <w:r>
        <w:rPr>
          <w:rFonts w:hint="eastAsia" w:ascii="仿宋_GB2312"/>
        </w:rPr>
        <w:t>项目年初预算</w:t>
      </w:r>
      <w:r>
        <w:rPr>
          <w:rFonts w:ascii="仿宋_GB2312"/>
        </w:rPr>
        <w:t>176.4</w:t>
      </w:r>
      <w:r>
        <w:rPr>
          <w:rFonts w:hint="eastAsia" w:ascii="仿宋_GB2312"/>
        </w:rPr>
        <w:t>万元，上年结转6</w:t>
      </w:r>
      <w:r>
        <w:rPr>
          <w:rFonts w:ascii="仿宋_GB2312"/>
        </w:rPr>
        <w:t>1.02万元，合计</w:t>
      </w:r>
      <w:r>
        <w:rPr>
          <w:rFonts w:hint="eastAsia" w:ascii="仿宋_GB2312"/>
        </w:rPr>
        <w:t>预算237.42万元，资金到位2</w:t>
      </w:r>
      <w:r>
        <w:rPr>
          <w:rFonts w:ascii="仿宋_GB2312"/>
        </w:rPr>
        <w:t>37.42万元，</w:t>
      </w:r>
      <w:r>
        <w:rPr>
          <w:rFonts w:hint="eastAsia" w:ascii="仿宋_GB2312" w:hAnsi="仿宋" w:cs="宋体"/>
          <w:bCs/>
          <w:kern w:val="0"/>
          <w:szCs w:val="28"/>
        </w:rPr>
        <w:t>该项目资金到位率为100%，</w:t>
      </w:r>
      <w:r>
        <w:rPr>
          <w:rFonts w:hint="eastAsia" w:ascii="仿宋_GB2312" w:hAnsi="仿宋" w:cs="宋体"/>
          <w:kern w:val="0"/>
          <w:szCs w:val="28"/>
        </w:rPr>
        <w:t>故资金到位率指标得分5分。</w:t>
      </w:r>
    </w:p>
    <w:p>
      <w:pPr>
        <w:spacing w:line="360" w:lineRule="auto"/>
        <w:ind w:firstLine="560"/>
        <w:rPr>
          <w:rFonts w:ascii="仿宋_GB2312"/>
          <w:szCs w:val="28"/>
        </w:rPr>
      </w:pPr>
    </w:p>
    <w:p>
      <w:pPr>
        <w:spacing w:line="360" w:lineRule="auto"/>
        <w:ind w:firstLine="562"/>
        <w:rPr>
          <w:rFonts w:ascii="仿宋_GB2312"/>
          <w:szCs w:val="28"/>
        </w:rPr>
      </w:pPr>
      <w:r>
        <w:rPr>
          <w:rFonts w:hint="eastAsia" w:ascii="仿宋_GB2312"/>
          <w:b/>
          <w:bCs/>
          <w:szCs w:val="28"/>
        </w:rPr>
        <w:t>预算执行率：</w:t>
      </w:r>
      <w:r>
        <w:rPr>
          <w:rFonts w:hint="eastAsia" w:ascii="仿宋_GB2312"/>
          <w:szCs w:val="28"/>
        </w:rPr>
        <w:t>单</w:t>
      </w:r>
      <w:r>
        <w:rPr>
          <w:rFonts w:hint="eastAsia" w:ascii="仿宋_GB2312"/>
        </w:rPr>
        <w:t>项目年初预算</w:t>
      </w:r>
      <w:r>
        <w:rPr>
          <w:rFonts w:ascii="仿宋_GB2312"/>
        </w:rPr>
        <w:t>176.4</w:t>
      </w:r>
      <w:r>
        <w:rPr>
          <w:rFonts w:hint="eastAsia" w:ascii="仿宋_GB2312"/>
        </w:rPr>
        <w:t>万元，上年结转6</w:t>
      </w:r>
      <w:r>
        <w:rPr>
          <w:rFonts w:ascii="仿宋_GB2312"/>
        </w:rPr>
        <w:t>1.02万元，合计</w:t>
      </w:r>
      <w:r>
        <w:rPr>
          <w:rFonts w:hint="eastAsia" w:ascii="仿宋_GB2312"/>
        </w:rPr>
        <w:t>到位237.42万元，2</w:t>
      </w:r>
      <w:r>
        <w:rPr>
          <w:rFonts w:ascii="仿宋_GB2312"/>
        </w:rPr>
        <w:t>023年全年执行</w:t>
      </w:r>
      <w:r>
        <w:rPr>
          <w:rFonts w:hint="eastAsia" w:ascii="仿宋_GB2312"/>
        </w:rPr>
        <w:t>1</w:t>
      </w:r>
      <w:r>
        <w:rPr>
          <w:rFonts w:ascii="仿宋_GB2312"/>
        </w:rPr>
        <w:t>96.01万元</w:t>
      </w:r>
      <w:r>
        <w:rPr>
          <w:rFonts w:hint="eastAsia" w:ascii="仿宋_GB2312"/>
          <w:b/>
          <w:bCs/>
          <w:szCs w:val="28"/>
        </w:rPr>
        <w:t>，</w:t>
      </w:r>
      <w:r>
        <w:rPr>
          <w:rFonts w:hint="eastAsia" w:ascii="仿宋_GB2312"/>
        </w:rPr>
        <w:t>全部支付于中标单位，其中付中安保新疆有限公司4</w:t>
      </w:r>
      <w:r>
        <w:rPr>
          <w:rFonts w:ascii="仿宋_GB2312"/>
        </w:rPr>
        <w:t>9.15万元，乌鲁木齐绿通环美物业服务有限公司</w:t>
      </w:r>
      <w:r>
        <w:rPr>
          <w:rFonts w:hint="eastAsia" w:ascii="仿宋_GB2312"/>
        </w:rPr>
        <w:t>2</w:t>
      </w:r>
      <w:r>
        <w:rPr>
          <w:rFonts w:ascii="仿宋_GB2312"/>
        </w:rPr>
        <w:t>5万元，新疆合众保安服务有限公司</w:t>
      </w:r>
      <w:r>
        <w:rPr>
          <w:rFonts w:hint="eastAsia" w:ascii="仿宋_GB2312"/>
        </w:rPr>
        <w:t>1</w:t>
      </w:r>
      <w:r>
        <w:rPr>
          <w:rFonts w:ascii="仿宋_GB2312"/>
        </w:rPr>
        <w:t>21.86万元。</w:t>
      </w:r>
      <w:r>
        <w:rPr>
          <w:rFonts w:hint="eastAsia" w:ascii="仿宋_GB2312"/>
          <w:szCs w:val="28"/>
        </w:rPr>
        <w:t>故预算执行率得分为3.45分。</w:t>
      </w:r>
    </w:p>
    <w:p>
      <w:pPr>
        <w:spacing w:line="360" w:lineRule="auto"/>
        <w:ind w:firstLine="562"/>
        <w:rPr>
          <w:rFonts w:ascii="仿宋_GB2312"/>
          <w:b/>
          <w:bCs/>
          <w:szCs w:val="28"/>
        </w:rPr>
      </w:pPr>
    </w:p>
    <w:p>
      <w:pPr>
        <w:spacing w:line="360" w:lineRule="auto"/>
        <w:ind w:firstLine="562"/>
        <w:rPr>
          <w:rFonts w:ascii="仿宋_GB2312"/>
          <w:szCs w:val="28"/>
        </w:rPr>
      </w:pPr>
      <w:r>
        <w:rPr>
          <w:rFonts w:hint="eastAsia" w:ascii="仿宋_GB2312"/>
          <w:b/>
          <w:bCs/>
          <w:szCs w:val="28"/>
        </w:rPr>
        <w:t>资金使用合规性：</w:t>
      </w:r>
      <w:r>
        <w:rPr>
          <w:rFonts w:hint="eastAsia" w:ascii="仿宋_GB2312"/>
          <w:szCs w:val="28"/>
        </w:rPr>
        <w:t>本项目资金的使用符合乌鲁木齐市京剧团（新疆京剧团）财务管理制度和资金管理办法的规定。同时，资金的拨付有办公室主任、会计及分管财务领导审批程序，需要通过公共资源中心的中标通知书，发票，合同，合同审批单，验收单，会议记录等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13</w:t>
      </w:r>
      <w:r>
        <w:rPr>
          <w:rFonts w:hint="eastAsia" w:ascii="仿宋_GB2312" w:hAnsi="仿宋" w:cs="宋体"/>
          <w:b/>
          <w:kern w:val="0"/>
          <w:szCs w:val="28"/>
        </w:rPr>
        <w:t>分，得分11.45分。</w:t>
      </w:r>
    </w:p>
    <w:p>
      <w:pPr>
        <w:pStyle w:val="4"/>
        <w:ind w:firstLine="643"/>
      </w:pPr>
      <w:bookmarkStart w:id="43" w:name="_Toc165277247"/>
      <w:r>
        <w:t>2.</w:t>
      </w:r>
      <w:r>
        <w:rPr>
          <w:rFonts w:hint="eastAsia"/>
        </w:rPr>
        <w:t>组织实施</w:t>
      </w:r>
      <w:bookmarkEnd w:id="43"/>
    </w:p>
    <w:p>
      <w:pPr>
        <w:spacing w:line="360" w:lineRule="auto"/>
        <w:ind w:firstLine="562"/>
        <w:rPr>
          <w:rFonts w:ascii="仿宋_GB2312"/>
          <w:szCs w:val="28"/>
        </w:rPr>
      </w:pPr>
      <w:r>
        <w:rPr>
          <w:rFonts w:hint="eastAsia" w:ascii="仿宋_GB2312"/>
          <w:b/>
          <w:bCs/>
          <w:szCs w:val="28"/>
        </w:rPr>
        <w:t>管理制度健全性</w:t>
      </w:r>
      <w:r>
        <w:rPr>
          <w:rFonts w:hint="eastAsia" w:ascii="仿宋_GB2312"/>
          <w:szCs w:val="28"/>
        </w:rPr>
        <w:t>：我团已制定相应的《乌鲁木齐市京剧团（新疆京剧团）财务管理制度》和《乌鲁木齐市京剧团（新疆京剧团）资金管理办法制度》，且制度合法、合规、完整，为项目顺利实施提供重要保障。故管理制度健全性得分为3分。</w:t>
      </w:r>
    </w:p>
    <w:p>
      <w:pPr>
        <w:spacing w:line="360" w:lineRule="auto"/>
        <w:ind w:firstLine="562"/>
        <w:rPr>
          <w:rFonts w:ascii="仿宋_GB2312"/>
          <w:szCs w:val="28"/>
        </w:rPr>
      </w:pPr>
      <w:r>
        <w:rPr>
          <w:rFonts w:hint="eastAsia" w:ascii="仿宋_GB2312"/>
          <w:b/>
          <w:bCs/>
          <w:szCs w:val="28"/>
        </w:rPr>
        <w:t>制度执行有效性：</w:t>
      </w:r>
      <w:r>
        <w:rPr>
          <w:rFonts w:hint="eastAsia" w:ascii="仿宋_GB2312"/>
          <w:szCs w:val="28"/>
        </w:rPr>
        <w:t>根据评价小组核查情况，我团严格遵守相关法律法规和相关管理规定，项目调整及支出调整手续完备，整体管理合理有序，项目完成后，及时将合同、中标通知书、发票等相关资料分类归档，制度执行有效。故制度执行有效性指标得分</w:t>
      </w:r>
      <w:r>
        <w:rPr>
          <w:rFonts w:ascii="仿宋_GB2312"/>
          <w:szCs w:val="28"/>
        </w:rPr>
        <w:t>4</w:t>
      </w:r>
      <w:r>
        <w:rPr>
          <w:rFonts w:hint="eastAsia" w:ascii="仿宋_GB2312"/>
          <w:szCs w:val="28"/>
        </w:rPr>
        <w:t>分。</w:t>
      </w:r>
    </w:p>
    <w:p>
      <w:pPr>
        <w:autoSpaceDE w:val="0"/>
        <w:spacing w:line="600" w:lineRule="exact"/>
        <w:ind w:firstLine="562"/>
        <w:rPr>
          <w:rFonts w:ascii="仿宋_GB2312" w:hAnsi="仿宋" w:cs="宋体"/>
          <w:b/>
          <w:kern w:val="0"/>
          <w:szCs w:val="28"/>
        </w:rPr>
      </w:pPr>
      <w:bookmarkStart w:id="44" w:name="_Hlk67670213"/>
      <w:r>
        <w:rPr>
          <w:rFonts w:hint="eastAsia" w:ascii="仿宋_GB2312" w:hAnsi="仿宋" w:cs="宋体"/>
          <w:b/>
          <w:kern w:val="0"/>
          <w:szCs w:val="28"/>
        </w:rPr>
        <w:t>综上，该指标满分</w:t>
      </w:r>
      <w:r>
        <w:rPr>
          <w:rFonts w:ascii="仿宋_GB2312" w:hAnsi="仿宋" w:cs="宋体"/>
          <w:b/>
          <w:kern w:val="0"/>
          <w:szCs w:val="28"/>
        </w:rPr>
        <w:t>7</w:t>
      </w:r>
      <w:r>
        <w:rPr>
          <w:rFonts w:hint="eastAsia" w:ascii="仿宋_GB2312" w:hAnsi="仿宋" w:cs="宋体"/>
          <w:b/>
          <w:kern w:val="0"/>
          <w:szCs w:val="28"/>
        </w:rPr>
        <w:t>分，得分</w:t>
      </w:r>
      <w:r>
        <w:rPr>
          <w:rFonts w:ascii="仿宋_GB2312" w:hAnsi="仿宋" w:cs="宋体"/>
          <w:b/>
          <w:kern w:val="0"/>
          <w:szCs w:val="28"/>
        </w:rPr>
        <w:t>7</w:t>
      </w:r>
      <w:r>
        <w:rPr>
          <w:rFonts w:hint="eastAsia" w:ascii="仿宋_GB2312" w:hAnsi="仿宋" w:cs="宋体"/>
          <w:b/>
          <w:kern w:val="0"/>
          <w:szCs w:val="28"/>
        </w:rPr>
        <w:t>分。</w:t>
      </w:r>
    </w:p>
    <w:bookmarkEnd w:id="44"/>
    <w:p>
      <w:pPr>
        <w:pStyle w:val="3"/>
        <w:ind w:firstLine="643"/>
        <w:rPr>
          <w:rFonts w:ascii="仿宋" w:hAnsi="仿宋" w:eastAsia="仿宋"/>
          <w:lang w:bidi="en-US"/>
        </w:rPr>
      </w:pPr>
      <w:bookmarkStart w:id="45" w:name="_Toc67911614"/>
      <w:bookmarkStart w:id="46" w:name="_Toc165277248"/>
      <w:r>
        <w:rPr>
          <w:rFonts w:hint="eastAsia" w:ascii="仿宋" w:hAnsi="仿宋" w:eastAsia="仿宋"/>
          <w:lang w:bidi="en-US"/>
        </w:rPr>
        <w:t>（三）项目产出情况</w:t>
      </w:r>
      <w:bookmarkEnd w:id="45"/>
      <w:bookmarkEnd w:id="46"/>
    </w:p>
    <w:p>
      <w:pPr>
        <w:spacing w:line="360" w:lineRule="auto"/>
        <w:ind w:firstLine="560"/>
        <w:rPr>
          <w:rFonts w:ascii="仿宋_GB2312"/>
          <w:szCs w:val="28"/>
        </w:rPr>
      </w:pPr>
      <w:r>
        <w:rPr>
          <w:rFonts w:hint="eastAsia" w:ascii="仿宋_GB2312"/>
          <w:szCs w:val="28"/>
        </w:rPr>
        <w:t>项目产出指标由</w:t>
      </w:r>
      <w:r>
        <w:rPr>
          <w:rFonts w:ascii="仿宋_GB2312"/>
          <w:szCs w:val="28"/>
        </w:rPr>
        <w:t>4</w:t>
      </w:r>
      <w:r>
        <w:rPr>
          <w:rFonts w:hint="eastAsia" w:ascii="仿宋_GB2312"/>
          <w:szCs w:val="28"/>
        </w:rPr>
        <w:t>个二级指标和8个三级指标构成，权重为</w:t>
      </w:r>
      <w:r>
        <w:rPr>
          <w:rFonts w:ascii="仿宋_GB2312"/>
          <w:szCs w:val="28"/>
        </w:rPr>
        <w:t>40</w:t>
      </w:r>
      <w:r>
        <w:rPr>
          <w:rFonts w:hint="eastAsia" w:ascii="仿宋_GB2312"/>
          <w:szCs w:val="28"/>
        </w:rPr>
        <w:t>分，实际得分38.78分。</w:t>
      </w:r>
    </w:p>
    <w:p>
      <w:pPr>
        <w:pStyle w:val="4"/>
        <w:ind w:firstLine="643"/>
      </w:pPr>
      <w:bookmarkStart w:id="47" w:name="_Toc165277249"/>
      <w:r>
        <w:rPr>
          <w:rFonts w:hint="eastAsia"/>
        </w:rPr>
        <w:t>1</w:t>
      </w:r>
      <w:r>
        <w:t>.</w:t>
      </w:r>
      <w:r>
        <w:rPr>
          <w:rFonts w:hint="eastAsia"/>
        </w:rPr>
        <w:t>产出数量</w:t>
      </w:r>
      <w:bookmarkEnd w:id="47"/>
    </w:p>
    <w:p>
      <w:pPr>
        <w:spacing w:line="360" w:lineRule="auto"/>
        <w:ind w:firstLine="560"/>
        <w:rPr>
          <w:rFonts w:ascii="仿宋_GB2312"/>
          <w:bCs/>
          <w:szCs w:val="28"/>
        </w:rPr>
      </w:pPr>
      <w:r>
        <w:rPr>
          <w:rFonts w:hint="eastAsia" w:ascii="仿宋_GB2312"/>
          <w:bCs/>
          <w:szCs w:val="28"/>
        </w:rPr>
        <w:t>数量指标“聘用门岗人数”的目标值是8个，2023</w:t>
      </w:r>
      <w:r>
        <w:rPr>
          <w:rFonts w:ascii="仿宋_GB2312"/>
          <w:bCs/>
          <w:szCs w:val="28"/>
        </w:rPr>
        <w:t>年度我单位实际完成</w:t>
      </w:r>
      <w:r>
        <w:rPr>
          <w:rFonts w:hint="eastAsia" w:ascii="仿宋_GB2312"/>
          <w:bCs/>
          <w:szCs w:val="28"/>
        </w:rPr>
        <w:t>8个，</w:t>
      </w:r>
    </w:p>
    <w:p>
      <w:pPr>
        <w:spacing w:line="360" w:lineRule="auto"/>
        <w:ind w:firstLine="560"/>
        <w:rPr>
          <w:rFonts w:ascii="仿宋_GB2312"/>
          <w:bCs/>
          <w:szCs w:val="28"/>
        </w:rPr>
      </w:pPr>
      <w:r>
        <w:rPr>
          <w:rFonts w:hint="eastAsia" w:ascii="仿宋_GB2312"/>
          <w:bCs/>
          <w:szCs w:val="28"/>
        </w:rPr>
        <w:t>数量指标“聘用消防人数”的目标值是7个，</w:t>
      </w:r>
      <w:r>
        <w:rPr>
          <w:rFonts w:ascii="仿宋_GB2312"/>
          <w:bCs/>
          <w:szCs w:val="28"/>
        </w:rPr>
        <w:t>2023年度我单位实际完成</w:t>
      </w:r>
      <w:r>
        <w:rPr>
          <w:rFonts w:hint="eastAsia" w:ascii="仿宋_GB2312"/>
          <w:bCs/>
          <w:szCs w:val="28"/>
        </w:rPr>
        <w:t>6个，原因是根据相关规定，配备6人即可完成。</w:t>
      </w:r>
    </w:p>
    <w:p>
      <w:pPr>
        <w:spacing w:line="360" w:lineRule="auto"/>
        <w:ind w:firstLine="560"/>
        <w:rPr>
          <w:rFonts w:ascii="仿宋_GB2312"/>
          <w:bCs/>
          <w:szCs w:val="28"/>
        </w:rPr>
      </w:pPr>
      <w:r>
        <w:rPr>
          <w:rFonts w:hint="eastAsia" w:ascii="仿宋_GB2312"/>
          <w:bCs/>
          <w:szCs w:val="28"/>
        </w:rPr>
        <w:t>数量指标“聘用保洁人数”的目标值是8个，</w:t>
      </w:r>
      <w:r>
        <w:rPr>
          <w:rFonts w:ascii="仿宋_GB2312"/>
          <w:bCs/>
          <w:szCs w:val="28"/>
        </w:rPr>
        <w:t>2023年度我单位实际完成</w:t>
      </w:r>
      <w:r>
        <w:rPr>
          <w:rFonts w:hint="eastAsia" w:ascii="仿宋_GB2312"/>
          <w:bCs/>
          <w:szCs w:val="28"/>
        </w:rPr>
        <w:t>8个</w:t>
      </w:r>
    </w:p>
    <w:p>
      <w:pPr>
        <w:spacing w:line="360" w:lineRule="auto"/>
        <w:ind w:firstLine="562"/>
        <w:rPr>
          <w:rFonts w:ascii="仿宋_GB2312"/>
          <w:szCs w:val="28"/>
        </w:rPr>
      </w:pPr>
      <w:r>
        <w:rPr>
          <w:rFonts w:hint="eastAsia" w:ascii="仿宋_GB2312"/>
          <w:b/>
          <w:bCs/>
          <w:szCs w:val="28"/>
        </w:rPr>
        <w:t>实际完成率：</w:t>
      </w:r>
      <w:r>
        <w:rPr>
          <w:rFonts w:hint="eastAsia" w:ascii="仿宋_GB2312"/>
          <w:szCs w:val="28"/>
        </w:rPr>
        <w:t>95.7</w:t>
      </w:r>
      <w:r>
        <w:rPr>
          <w:rFonts w:ascii="仿宋_GB2312"/>
          <w:szCs w:val="28"/>
        </w:rPr>
        <w:t>%</w:t>
      </w:r>
      <w:r>
        <w:rPr>
          <w:rFonts w:hint="eastAsia" w:ascii="仿宋_GB2312"/>
          <w:szCs w:val="28"/>
        </w:rPr>
        <w:t>，故实际完成率得分为9.57分。</w:t>
      </w:r>
    </w:p>
    <w:p>
      <w:pPr>
        <w:pStyle w:val="4"/>
        <w:ind w:firstLine="643"/>
      </w:pPr>
      <w:bookmarkStart w:id="48" w:name="_Toc165277250"/>
      <w:r>
        <w:rPr>
          <w:rFonts w:hint="eastAsia"/>
        </w:rPr>
        <w:t>2</w:t>
      </w:r>
      <w:r>
        <w:t>.</w:t>
      </w:r>
      <w:r>
        <w:rPr>
          <w:rFonts w:hint="eastAsia"/>
        </w:rPr>
        <w:t>产出质量</w:t>
      </w:r>
      <w:bookmarkEnd w:id="48"/>
    </w:p>
    <w:p>
      <w:pPr>
        <w:spacing w:line="360" w:lineRule="auto"/>
        <w:ind w:firstLine="562"/>
        <w:rPr>
          <w:rFonts w:ascii="仿宋_GB2312"/>
          <w:szCs w:val="28"/>
        </w:rPr>
      </w:pPr>
      <w:r>
        <w:rPr>
          <w:rFonts w:hint="eastAsia" w:ascii="仿宋_GB2312"/>
          <w:b/>
          <w:bCs/>
          <w:szCs w:val="28"/>
        </w:rPr>
        <w:t>安保人员日常巡查次数6次，实际已完成6次，故</w:t>
      </w:r>
      <w:r>
        <w:rPr>
          <w:rFonts w:hint="eastAsia" w:ascii="仿宋_GB2312"/>
          <w:szCs w:val="28"/>
        </w:rPr>
        <w:t>质量达标率得分为10分。</w:t>
      </w:r>
    </w:p>
    <w:p>
      <w:pPr>
        <w:pStyle w:val="4"/>
        <w:ind w:firstLine="643"/>
      </w:pPr>
      <w:bookmarkStart w:id="49" w:name="_Toc165277251"/>
      <w:r>
        <w:rPr>
          <w:rFonts w:hint="eastAsia"/>
        </w:rPr>
        <w:t>3</w:t>
      </w:r>
      <w:r>
        <w:t>.</w:t>
      </w:r>
      <w:r>
        <w:rPr>
          <w:rFonts w:hint="eastAsia"/>
        </w:rPr>
        <w:t>产出时效</w:t>
      </w:r>
      <w:bookmarkEnd w:id="49"/>
    </w:p>
    <w:p>
      <w:pPr>
        <w:spacing w:line="360" w:lineRule="auto"/>
        <w:ind w:firstLine="562"/>
        <w:rPr>
          <w:rFonts w:ascii="仿宋_GB2312"/>
          <w:b/>
          <w:bCs/>
          <w:szCs w:val="28"/>
        </w:rPr>
      </w:pPr>
      <w:r>
        <w:rPr>
          <w:rFonts w:hint="eastAsia" w:ascii="仿宋_GB2312"/>
          <w:b/>
          <w:bCs/>
          <w:szCs w:val="28"/>
        </w:rPr>
        <w:t>完成及时性：</w:t>
      </w:r>
    </w:p>
    <w:p>
      <w:pPr>
        <w:spacing w:line="360" w:lineRule="auto"/>
        <w:ind w:firstLine="562"/>
        <w:rPr>
          <w:rFonts w:ascii="仿宋_GB2312"/>
          <w:szCs w:val="28"/>
        </w:rPr>
      </w:pPr>
      <w:r>
        <w:rPr>
          <w:rFonts w:hint="eastAsia" w:ascii="仿宋_GB2312"/>
          <w:b/>
          <w:bCs/>
          <w:szCs w:val="28"/>
        </w:rPr>
        <w:t>采购完成时间2月28日之前：实际于2月1</w:t>
      </w:r>
      <w:r>
        <w:rPr>
          <w:rFonts w:ascii="仿宋_GB2312"/>
          <w:b/>
          <w:bCs/>
          <w:szCs w:val="28"/>
        </w:rPr>
        <w:t>6日完成，</w:t>
      </w:r>
      <w:r>
        <w:rPr>
          <w:rFonts w:hint="eastAsia" w:ascii="仿宋_GB2312"/>
          <w:szCs w:val="28"/>
        </w:rPr>
        <w:t>故完成及时性得分为10分。</w:t>
      </w:r>
    </w:p>
    <w:p>
      <w:pPr>
        <w:pStyle w:val="4"/>
        <w:ind w:firstLine="643"/>
      </w:pPr>
      <w:bookmarkStart w:id="50" w:name="_Toc165277252"/>
      <w:r>
        <w:rPr>
          <w:rFonts w:hint="eastAsia"/>
        </w:rPr>
        <w:t>4</w:t>
      </w:r>
      <w:r>
        <w:t>.</w:t>
      </w:r>
      <w:r>
        <w:rPr>
          <w:rFonts w:hint="eastAsia"/>
        </w:rPr>
        <w:t>产出成本</w:t>
      </w:r>
      <w:bookmarkEnd w:id="50"/>
    </w:p>
    <w:p>
      <w:pPr>
        <w:spacing w:line="360" w:lineRule="auto"/>
        <w:ind w:firstLine="562"/>
        <w:rPr>
          <w:rFonts w:ascii="仿宋_GB2312"/>
          <w:b/>
          <w:bCs/>
          <w:szCs w:val="28"/>
        </w:rPr>
      </w:pPr>
      <w:r>
        <w:rPr>
          <w:rFonts w:hint="eastAsia" w:ascii="仿宋_GB2312"/>
          <w:b/>
          <w:bCs/>
          <w:szCs w:val="28"/>
        </w:rPr>
        <w:t>每月物业管理服务支出成本：</w:t>
      </w:r>
      <w:r>
        <w:rPr>
          <w:rFonts w:hint="eastAsia" w:ascii="仿宋_GB2312"/>
          <w:bCs/>
          <w:szCs w:val="28"/>
        </w:rPr>
        <w:t>本项目实际每月支出13.54万元，无超支情况，项目预算每月14.7万元，资金结余，得分为9.21</w:t>
      </w:r>
      <w:r>
        <w:rPr>
          <w:rFonts w:ascii="仿宋_GB2312"/>
          <w:bCs/>
          <w:szCs w:val="28"/>
        </w:rPr>
        <w:t>。</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综上，该部分指标满分</w:t>
      </w:r>
      <w:r>
        <w:rPr>
          <w:rFonts w:ascii="仿宋_GB2312" w:hAnsi="仿宋" w:cs="宋体"/>
          <w:b/>
          <w:kern w:val="0"/>
          <w:szCs w:val="28"/>
        </w:rPr>
        <w:t>40</w:t>
      </w:r>
      <w:r>
        <w:rPr>
          <w:rFonts w:hint="eastAsia" w:ascii="仿宋_GB2312" w:hAnsi="仿宋" w:cs="宋体"/>
          <w:b/>
          <w:kern w:val="0"/>
          <w:szCs w:val="28"/>
        </w:rPr>
        <w:t>分，得分</w:t>
      </w:r>
      <w:r>
        <w:rPr>
          <w:rFonts w:hint="eastAsia" w:ascii="仿宋_GB2312"/>
          <w:szCs w:val="28"/>
        </w:rPr>
        <w:t>38.78</w:t>
      </w:r>
      <w:r>
        <w:rPr>
          <w:rFonts w:hint="eastAsia" w:ascii="仿宋_GB2312" w:hAnsi="仿宋" w:cs="宋体"/>
          <w:b/>
          <w:kern w:val="0"/>
          <w:szCs w:val="28"/>
        </w:rPr>
        <w:t>分。</w:t>
      </w:r>
    </w:p>
    <w:p>
      <w:pPr>
        <w:pStyle w:val="3"/>
        <w:ind w:firstLine="643"/>
        <w:rPr>
          <w:rFonts w:ascii="仿宋" w:hAnsi="仿宋" w:eastAsia="仿宋"/>
          <w:lang w:bidi="en-US"/>
        </w:rPr>
      </w:pPr>
      <w:bookmarkStart w:id="51" w:name="_Toc165277253"/>
      <w:bookmarkStart w:id="52" w:name="_Toc67911615"/>
      <w:r>
        <w:rPr>
          <w:rFonts w:hint="eastAsia" w:ascii="仿宋" w:hAnsi="仿宋" w:eastAsia="仿宋"/>
          <w:lang w:bidi="en-US"/>
        </w:rPr>
        <w:t>（四）项目效益情况</w:t>
      </w:r>
      <w:bookmarkEnd w:id="51"/>
      <w:bookmarkEnd w:id="52"/>
    </w:p>
    <w:p>
      <w:pPr>
        <w:spacing w:line="360" w:lineRule="auto"/>
        <w:ind w:firstLine="560"/>
        <w:rPr>
          <w:rFonts w:ascii="仿宋_GB2312"/>
          <w:szCs w:val="28"/>
        </w:rPr>
      </w:pPr>
      <w:r>
        <w:rPr>
          <w:rFonts w:hint="eastAsia" w:ascii="仿宋_GB2312"/>
          <w:szCs w:val="28"/>
        </w:rPr>
        <w:t>项目效益指标由</w:t>
      </w:r>
      <w:r>
        <w:rPr>
          <w:rFonts w:ascii="仿宋_GB2312"/>
          <w:szCs w:val="28"/>
        </w:rPr>
        <w:t>1</w:t>
      </w:r>
      <w:r>
        <w:rPr>
          <w:rFonts w:hint="eastAsia" w:ascii="仿宋_GB2312"/>
          <w:szCs w:val="28"/>
        </w:rPr>
        <w:t>个二级指标和2个三级指标构成，权重为</w:t>
      </w:r>
      <w:r>
        <w:rPr>
          <w:rFonts w:ascii="仿宋_GB2312"/>
          <w:szCs w:val="28"/>
        </w:rPr>
        <w:t>20</w:t>
      </w:r>
      <w:r>
        <w:rPr>
          <w:rFonts w:hint="eastAsia" w:ascii="仿宋_GB2312"/>
          <w:szCs w:val="28"/>
        </w:rPr>
        <w:t>分，实际得分20分。</w:t>
      </w:r>
      <w:r>
        <w:rPr>
          <w:rFonts w:ascii="仿宋_GB2312"/>
          <w:szCs w:val="28"/>
        </w:rPr>
        <w:t xml:space="preserve"> </w:t>
      </w:r>
    </w:p>
    <w:p>
      <w:pPr>
        <w:pStyle w:val="4"/>
        <w:ind w:firstLine="643"/>
      </w:pPr>
      <w:bookmarkStart w:id="53" w:name="_Toc165277254"/>
      <w:r>
        <w:rPr>
          <w:rFonts w:hint="eastAsia"/>
        </w:rPr>
        <w:t>1</w:t>
      </w:r>
      <w:r>
        <w:t>.</w:t>
      </w:r>
      <w:r>
        <w:rPr>
          <w:rFonts w:hint="eastAsia"/>
        </w:rPr>
        <w:t>项目效益</w:t>
      </w:r>
      <w:bookmarkEnd w:id="53"/>
    </w:p>
    <w:p>
      <w:pPr>
        <w:spacing w:line="360" w:lineRule="auto"/>
        <w:ind w:firstLine="562"/>
        <w:rPr>
          <w:rFonts w:ascii="仿宋_GB2312"/>
          <w:b/>
          <w:bCs/>
          <w:szCs w:val="28"/>
        </w:rPr>
      </w:pPr>
      <w:r>
        <w:rPr>
          <w:rFonts w:hint="eastAsia" w:ascii="仿宋_GB2312"/>
          <w:b/>
          <w:bCs/>
          <w:szCs w:val="28"/>
        </w:rPr>
        <w:t>（1）实施效益</w:t>
      </w:r>
    </w:p>
    <w:p>
      <w:pPr>
        <w:spacing w:line="360" w:lineRule="auto"/>
        <w:ind w:firstLine="562"/>
        <w:rPr>
          <w:rFonts w:ascii="仿宋_GB2312"/>
          <w:szCs w:val="28"/>
        </w:rPr>
      </w:pPr>
      <w:r>
        <w:rPr>
          <w:rFonts w:hint="eastAsia" w:ascii="仿宋_GB2312"/>
          <w:b/>
          <w:bCs/>
          <w:szCs w:val="28"/>
        </w:rPr>
        <w:t>经济效益指标：</w:t>
      </w:r>
      <w:r>
        <w:rPr>
          <w:rFonts w:hint="eastAsia" w:ascii="仿宋_GB2312"/>
          <w:szCs w:val="28"/>
        </w:rPr>
        <w:t>不适用。</w:t>
      </w:r>
      <w:r>
        <w:rPr>
          <w:rFonts w:ascii="仿宋_GB2312"/>
          <w:szCs w:val="28"/>
        </w:rPr>
        <w:t xml:space="preserve"> </w:t>
      </w:r>
    </w:p>
    <w:p>
      <w:pPr>
        <w:spacing w:line="360" w:lineRule="auto"/>
        <w:ind w:firstLine="562"/>
        <w:rPr>
          <w:rFonts w:ascii="仿宋_GB2312"/>
          <w:szCs w:val="28"/>
        </w:rPr>
      </w:pPr>
      <w:r>
        <w:rPr>
          <w:rFonts w:hint="eastAsia" w:ascii="仿宋_GB2312"/>
          <w:b/>
          <w:bCs/>
          <w:szCs w:val="28"/>
        </w:rPr>
        <w:t>社会效益指标</w:t>
      </w:r>
      <w:r>
        <w:rPr>
          <w:rFonts w:hint="eastAsia" w:ascii="仿宋_GB2312"/>
          <w:szCs w:val="28"/>
        </w:rPr>
        <w:t>：评价指标“保障京剧院正常有效运行”，指标值：有效保障，实际完成值：达成年度指标。本项目的实施</w:t>
      </w:r>
      <w:r>
        <w:rPr>
          <w:rFonts w:hint="eastAsia" w:ascii="仿宋_GB2312"/>
        </w:rPr>
        <w:t>着装整齐、仪表端正、文明执勤、坚守岗位、工作认真。全年完成工作时间365天，安保消防及物业人员持证上岗率100%，安全事故发生数0起</w:t>
      </w:r>
      <w:r>
        <w:rPr>
          <w:rStyle w:val="20"/>
          <w:rFonts w:hint="eastAsia"/>
        </w:rPr>
        <w:t>。</w:t>
      </w:r>
    </w:p>
    <w:p>
      <w:pPr>
        <w:spacing w:line="360" w:lineRule="auto"/>
        <w:ind w:firstLine="562"/>
        <w:rPr>
          <w:rFonts w:ascii="仿宋_GB2312"/>
          <w:szCs w:val="28"/>
        </w:rPr>
      </w:pPr>
      <w:r>
        <w:rPr>
          <w:rFonts w:hint="eastAsia" w:ascii="仿宋_GB2312"/>
          <w:b/>
          <w:bCs/>
          <w:szCs w:val="28"/>
        </w:rPr>
        <w:t>生态效益指标</w:t>
      </w:r>
      <w:r>
        <w:rPr>
          <w:rFonts w:hint="eastAsia" w:ascii="仿宋_GB2312"/>
          <w:szCs w:val="28"/>
        </w:rPr>
        <w:t>：不适用。</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10</w:t>
      </w:r>
      <w:r>
        <w:rPr>
          <w:rFonts w:hint="eastAsia" w:ascii="仿宋_GB2312" w:hAnsi="仿宋" w:cs="宋体"/>
          <w:b/>
          <w:kern w:val="0"/>
          <w:szCs w:val="28"/>
        </w:rPr>
        <w:t>分，得分10分。</w:t>
      </w:r>
    </w:p>
    <w:p>
      <w:pPr>
        <w:pStyle w:val="4"/>
        <w:ind w:firstLine="643"/>
      </w:pPr>
      <w:bookmarkStart w:id="54" w:name="_Toc165277255"/>
      <w:r>
        <w:t>2. 满意度指标完成情况分析</w:t>
      </w:r>
      <w:bookmarkEnd w:id="54"/>
    </w:p>
    <w:p>
      <w:pPr>
        <w:spacing w:line="360" w:lineRule="auto"/>
        <w:ind w:firstLine="562"/>
        <w:rPr>
          <w:rFonts w:ascii="仿宋_GB2312"/>
          <w:b/>
          <w:bCs/>
          <w:szCs w:val="28"/>
        </w:rPr>
      </w:pPr>
      <w:r>
        <w:rPr>
          <w:rFonts w:hint="eastAsia" w:ascii="仿宋_GB2312"/>
          <w:b/>
          <w:bCs/>
          <w:szCs w:val="28"/>
        </w:rPr>
        <w:t>（</w:t>
      </w:r>
      <w:r>
        <w:rPr>
          <w:rFonts w:ascii="仿宋_GB2312"/>
          <w:b/>
          <w:bCs/>
          <w:szCs w:val="28"/>
        </w:rPr>
        <w:t>1</w:t>
      </w:r>
      <w:r>
        <w:rPr>
          <w:rFonts w:hint="eastAsia" w:ascii="仿宋_GB2312"/>
          <w:b/>
          <w:bCs/>
          <w:szCs w:val="28"/>
        </w:rPr>
        <w:t>）满意度指标</w:t>
      </w:r>
    </w:p>
    <w:p>
      <w:pPr>
        <w:spacing w:line="360" w:lineRule="auto"/>
        <w:ind w:firstLine="562"/>
        <w:rPr>
          <w:rFonts w:ascii="仿宋_GB2312"/>
          <w:szCs w:val="28"/>
        </w:rPr>
      </w:pPr>
      <w:r>
        <w:rPr>
          <w:rFonts w:hint="eastAsia" w:ascii="仿宋_GB2312"/>
          <w:b/>
          <w:bCs/>
          <w:szCs w:val="28"/>
        </w:rPr>
        <w:t>群众满意度：</w:t>
      </w:r>
      <w:r>
        <w:rPr>
          <w:rFonts w:hint="eastAsia" w:ascii="仿宋_GB2312"/>
          <w:szCs w:val="28"/>
        </w:rPr>
        <w:t>评价指标“观众满意度”，指标值：</w:t>
      </w:r>
      <w:r>
        <w:rPr>
          <w:rFonts w:hint="eastAsia" w:ascii="华文宋体" w:hAnsi="华文宋体" w:eastAsia="华文宋体"/>
          <w:szCs w:val="28"/>
        </w:rPr>
        <w:t>≥</w:t>
      </w:r>
      <w:r>
        <w:rPr>
          <w:rFonts w:hint="eastAsia" w:ascii="仿宋_GB2312"/>
          <w:szCs w:val="28"/>
        </w:rPr>
        <w:t>95%，实际完成值：</w:t>
      </w:r>
      <w:r>
        <w:rPr>
          <w:rFonts w:hint="eastAsia" w:ascii="华文宋体" w:hAnsi="华文宋体" w:eastAsia="华文宋体"/>
          <w:szCs w:val="28"/>
        </w:rPr>
        <w:t>≥</w:t>
      </w:r>
      <w:r>
        <w:rPr>
          <w:rFonts w:hint="eastAsia" w:ascii="仿宋_GB2312" w:eastAsia="华文宋体"/>
          <w:szCs w:val="28"/>
        </w:rPr>
        <w:t>95</w:t>
      </w:r>
      <w:r>
        <w:rPr>
          <w:rFonts w:hint="eastAsia" w:ascii="仿宋_GB2312"/>
          <w:szCs w:val="28"/>
        </w:rPr>
        <w:t>%。通过设置问卷调查的方式进行考评评价，共计调查样本总量为100个样本，有效调查问卷100份。其中，统计“群众对演出服务满意度”的平均值为95%。故满意度指标得分为10分。</w:t>
      </w:r>
    </w:p>
    <w:p>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10</w:t>
      </w:r>
      <w:r>
        <w:rPr>
          <w:rFonts w:hint="eastAsia" w:ascii="仿宋_GB2312" w:hAnsi="仿宋" w:cs="宋体"/>
          <w:b/>
          <w:kern w:val="0"/>
          <w:szCs w:val="28"/>
        </w:rPr>
        <w:t>分，得分10分。</w:t>
      </w:r>
    </w:p>
    <w:p>
      <w:pPr>
        <w:pStyle w:val="2"/>
        <w:ind w:firstLine="0" w:firstLineChars="0"/>
        <w:jc w:val="left"/>
        <w:rPr>
          <w:rFonts w:ascii="仿宋" w:hAnsi="仿宋" w:eastAsia="仿宋"/>
          <w:sz w:val="36"/>
          <w:szCs w:val="36"/>
          <w:lang w:bidi="en-US"/>
        </w:rPr>
      </w:pPr>
      <w:bookmarkStart w:id="55" w:name="_Toc67911617"/>
      <w:bookmarkStart w:id="56" w:name="_Toc165277256"/>
      <w:r>
        <w:rPr>
          <w:rFonts w:hint="eastAsia" w:ascii="仿宋" w:hAnsi="仿宋" w:eastAsia="仿宋"/>
          <w:sz w:val="36"/>
          <w:szCs w:val="36"/>
          <w:lang w:bidi="en-US"/>
        </w:rPr>
        <w:t>五、主要经验及做法、存在的问题及原因分析</w:t>
      </w:r>
      <w:bookmarkEnd w:id="55"/>
      <w:bookmarkEnd w:id="56"/>
    </w:p>
    <w:p>
      <w:pPr>
        <w:pStyle w:val="3"/>
        <w:ind w:firstLine="560"/>
        <w:rPr>
          <w:rFonts w:ascii="仿宋" w:hAnsi="仿宋" w:eastAsia="仿宋"/>
          <w:b w:val="0"/>
          <w:bCs w:val="0"/>
          <w:sz w:val="28"/>
          <w:szCs w:val="28"/>
          <w:lang w:bidi="en-US"/>
        </w:rPr>
      </w:pPr>
      <w:bookmarkStart w:id="57" w:name="_Toc67911618"/>
      <w:bookmarkStart w:id="58" w:name="_Toc165277257"/>
      <w:r>
        <w:rPr>
          <w:rFonts w:hint="eastAsia" w:ascii="仿宋" w:hAnsi="仿宋" w:eastAsia="仿宋"/>
          <w:b w:val="0"/>
          <w:bCs w:val="0"/>
          <w:sz w:val="28"/>
          <w:szCs w:val="28"/>
          <w:lang w:bidi="en-US"/>
        </w:rPr>
        <w:t>（一）主要经验及做法</w:t>
      </w:r>
      <w:bookmarkEnd w:id="57"/>
      <w:bookmarkEnd w:id="58"/>
    </w:p>
    <w:p>
      <w:pPr>
        <w:spacing w:line="560" w:lineRule="exact"/>
        <w:ind w:firstLine="560"/>
        <w:rPr>
          <w:rFonts w:ascii="仿宋" w:hAnsi="仿宋" w:eastAsia="仿宋" w:cstheme="majorBidi"/>
          <w:szCs w:val="28"/>
          <w:lang w:bidi="en-US"/>
        </w:rPr>
      </w:pPr>
      <w:bookmarkStart w:id="59" w:name="_Toc165277258"/>
      <w:r>
        <w:rPr>
          <w:rFonts w:ascii="仿宋" w:hAnsi="仿宋" w:eastAsia="仿宋" w:cstheme="majorBidi"/>
          <w:szCs w:val="28"/>
          <w:lang w:bidi="en-US"/>
        </w:rPr>
        <w:t>为确保项目顺利进行，提前做好项目规划，将所列计划再三审核。在项目实施过程中做好定期监督检查，严格按照项目管理规范进行，在项目资金使用过程中，严格落实把关，按照项目资金使用范围做好审核工作，让项目资金落于实处。在项目完成后，做好受益群众民意调查及项目防范工作。</w:t>
      </w:r>
    </w:p>
    <w:p>
      <w:pPr>
        <w:pStyle w:val="14"/>
        <w:spacing w:before="0" w:after="0" w:line="560" w:lineRule="exact"/>
        <w:ind w:firstLine="560" w:firstLineChars="200"/>
        <w:jc w:val="left"/>
        <w:rPr>
          <w:rFonts w:ascii="仿宋" w:hAnsi="仿宋" w:eastAsia="仿宋"/>
          <w:b w:val="0"/>
          <w:bCs w:val="0"/>
          <w:sz w:val="28"/>
          <w:szCs w:val="28"/>
          <w:lang w:bidi="en-US"/>
        </w:rPr>
      </w:pPr>
      <w:r>
        <w:rPr>
          <w:rFonts w:ascii="仿宋" w:hAnsi="仿宋" w:eastAsia="仿宋"/>
          <w:b w:val="0"/>
          <w:bCs w:val="0"/>
          <w:sz w:val="28"/>
          <w:szCs w:val="28"/>
          <w:lang w:bidi="en-US"/>
        </w:rPr>
        <w:t>严格坚持先做事、后验收、再拨付的原则，基本杜绝了资金被挤占和挪用现象的发生，跟踪检查到位。财政、纪检、监察等职能部门全面参与专项资金事前、事中和事后全过程的监管。在监督环节上，实行关口前移，从事后监督管理转向事前审核，事中监督和事后检查稽核相结合的监督制度上来，形成多环节全过程的监督管理格局，尽量早发现问题，早解决问题。</w:t>
      </w:r>
      <w:r>
        <w:rPr>
          <w:rFonts w:hint="eastAsia" w:ascii="仿宋" w:hAnsi="仿宋" w:eastAsia="仿宋"/>
          <w:b w:val="0"/>
          <w:bCs w:val="0"/>
          <w:sz w:val="28"/>
          <w:szCs w:val="28"/>
          <w:lang w:bidi="en-US"/>
        </w:rPr>
        <w:t>京剧院运营项目以预防为主，重点放在保安及消防人员对单位的安全保卫工作和消防监控工作，和保洁及物业人员对京剧院所有区域清洁绿化工作及京剧院内部设备设施管理和维护工作，确保京剧院正常运行。</w:t>
      </w:r>
    </w:p>
    <w:p>
      <w:pPr>
        <w:pStyle w:val="3"/>
        <w:numPr>
          <w:ilvl w:val="0"/>
          <w:numId w:val="1"/>
        </w:numPr>
        <w:ind w:firstLine="643"/>
        <w:rPr>
          <w:rFonts w:ascii="仿宋" w:hAnsi="仿宋" w:eastAsia="仿宋"/>
          <w:lang w:bidi="en-US"/>
        </w:rPr>
      </w:pPr>
      <w:r>
        <w:rPr>
          <w:rFonts w:hint="eastAsia" w:ascii="仿宋" w:hAnsi="仿宋" w:eastAsia="仿宋"/>
          <w:lang w:bidi="en-US"/>
        </w:rPr>
        <w:t>存在的问题及原因分析</w:t>
      </w:r>
      <w:bookmarkEnd w:id="59"/>
      <w:bookmarkStart w:id="60" w:name="_Toc67911620"/>
      <w:bookmarkStart w:id="61" w:name="_Toc165277259"/>
      <w:bookmarkStart w:id="62" w:name="_Toc67911619"/>
    </w:p>
    <w:p>
      <w:pPr>
        <w:pStyle w:val="3"/>
        <w:spacing w:line="360" w:lineRule="auto"/>
        <w:ind w:firstLine="1120" w:firstLineChars="400"/>
        <w:rPr>
          <w:rStyle w:val="20"/>
          <w:rFonts w:hint="eastAsia" w:ascii="仿宋" w:hAnsi="仿宋" w:eastAsia="仿宋"/>
          <w:b w:val="0"/>
          <w:bCs w:val="0"/>
          <w:sz w:val="28"/>
          <w:szCs w:val="28"/>
          <w:lang w:bidi="en-US"/>
        </w:rPr>
      </w:pPr>
      <w:r>
        <w:rPr>
          <w:rFonts w:hint="eastAsia" w:ascii="仿宋" w:hAnsi="仿宋" w:eastAsia="仿宋"/>
          <w:b w:val="0"/>
          <w:bCs w:val="0"/>
          <w:sz w:val="28"/>
          <w:szCs w:val="28"/>
          <w:lang w:bidi="en-US"/>
        </w:rPr>
        <w:t>1、保安人员在各项预案具体实施还不尽完美，保安人员的组织管理水平还有待提高。2、人员配置不足，因中标单位工资发放不及时造成消极怠工；3、不履职尽责，没有按照合同规定和规章制度进行上岗；4、个别安保人员有睡岗现象，造成安全隐患。</w:t>
      </w:r>
    </w:p>
    <w:p>
      <w:pPr>
        <w:pStyle w:val="2"/>
        <w:numPr>
          <w:ilvl w:val="0"/>
          <w:numId w:val="2"/>
        </w:numPr>
        <w:ind w:firstLine="0" w:firstLineChars="0"/>
        <w:jc w:val="left"/>
        <w:rPr>
          <w:rFonts w:ascii="仿宋" w:hAnsi="仿宋" w:eastAsia="仿宋"/>
          <w:sz w:val="36"/>
          <w:szCs w:val="36"/>
          <w:lang w:bidi="en-US"/>
        </w:rPr>
      </w:pPr>
      <w:r>
        <w:rPr>
          <w:rFonts w:hint="eastAsia" w:ascii="仿宋" w:hAnsi="仿宋" w:eastAsia="仿宋"/>
          <w:sz w:val="36"/>
          <w:szCs w:val="36"/>
          <w:lang w:bidi="en-US"/>
        </w:rPr>
        <w:t>有关建议</w:t>
      </w:r>
      <w:bookmarkEnd w:id="60"/>
      <w:bookmarkEnd w:id="61"/>
    </w:p>
    <w:p>
      <w:pPr>
        <w:pStyle w:val="27"/>
        <w:spacing w:line="600" w:lineRule="exact"/>
        <w:ind w:left="420" w:firstLine="0" w:firstLineChars="0"/>
        <w:outlineLvl w:val="0"/>
        <w:rPr>
          <w:rFonts w:ascii="仿宋_GB2312" w:hAnsi="仿宋_GB2312" w:cs="仿宋_GB2312"/>
          <w:sz w:val="32"/>
          <w:szCs w:val="32"/>
        </w:rPr>
      </w:pPr>
      <w:r>
        <w:rPr>
          <w:rFonts w:hint="eastAsia" w:ascii="仿宋_GB2312" w:hAnsi="仿宋_GB2312" w:cs="仿宋_GB2312"/>
          <w:sz w:val="32"/>
          <w:szCs w:val="32"/>
        </w:rPr>
        <w:t>1.多进行有关绩效管理工作方面的培训。积极组织第三方开展绩效管理工作培训，进一步夯实业务基础，提高我单位绩效人员水平。</w:t>
      </w:r>
    </w:p>
    <w:p>
      <w:pPr>
        <w:spacing w:line="600" w:lineRule="exact"/>
        <w:ind w:firstLine="320" w:firstLineChars="100"/>
        <w:outlineLvl w:val="0"/>
        <w:rPr>
          <w:rFonts w:ascii="仿宋_GB2312" w:hAnsi="仿宋_GB2312" w:cs="仿宋_GB2312"/>
          <w:sz w:val="32"/>
          <w:szCs w:val="32"/>
        </w:rPr>
      </w:pPr>
      <w:r>
        <w:rPr>
          <w:rFonts w:hint="eastAsia" w:ascii="仿宋_GB2312" w:hAnsi="仿宋_GB2312" w:cs="仿宋_GB2312"/>
          <w:sz w:val="32"/>
          <w:szCs w:val="32"/>
        </w:rPr>
        <w:t>2.专门设定对绩效工作人员定职、定岗、定责等相关制度措施，进一步提升我单位绩效管理工作业务水平，扎实做好绩效管理工作。</w:t>
      </w:r>
    </w:p>
    <w:p>
      <w:pPr>
        <w:spacing w:line="600" w:lineRule="exact"/>
        <w:ind w:firstLine="0" w:firstLineChars="0"/>
        <w:outlineLvl w:val="0"/>
        <w:rPr>
          <w:rFonts w:ascii="仿宋_GB2312" w:hAnsi="仿宋_GB2312" w:cs="仿宋_GB2312"/>
          <w:sz w:val="32"/>
          <w:szCs w:val="32"/>
        </w:rPr>
      </w:pPr>
      <w:r>
        <w:rPr>
          <w:rFonts w:hint="eastAsia" w:ascii="仿宋_GB2312" w:hAnsi="仿宋_GB2312" w:cs="仿宋_GB2312"/>
          <w:sz w:val="32"/>
          <w:szCs w:val="32"/>
        </w:rPr>
        <w:t>3.进一步规范项目建设的程序。项目前期做好可行性研究报告，更加细化实施方案，严格执行资金管理办法和财政资金管理制度，严格按照项目实施方案、招投标管理办法等稳步推进工作，各部门单位根据自己项目的特点进行总结。</w:t>
      </w:r>
    </w:p>
    <w:p>
      <w:pPr>
        <w:pStyle w:val="27"/>
        <w:spacing w:line="600" w:lineRule="exact"/>
        <w:ind w:left="420" w:firstLine="0" w:firstLineChars="0"/>
        <w:outlineLvl w:val="0"/>
        <w:rPr>
          <w:sz w:val="22"/>
          <w:szCs w:val="28"/>
        </w:rPr>
      </w:pPr>
      <w:r>
        <w:rPr>
          <w:rFonts w:hint="eastAsia" w:ascii="仿宋_GB2312" w:hAnsi="仿宋_GB2312" w:cs="仿宋_GB2312"/>
          <w:sz w:val="32"/>
          <w:szCs w:val="32"/>
        </w:rPr>
        <w:t>4.进一步完善项目评价过程中有关数据和资料的收集、整理、审核及分析。项目启动时同步做好档案的归纳与整理，及时整理、收集、汇总，健全档案资料。项目后续管理有待进一步加强和跟踪</w:t>
      </w:r>
      <w:r>
        <w:rPr>
          <w:rFonts w:hint="eastAsia" w:ascii="仿宋_GB2312" w:hAnsi="仿宋_GB2312" w:cs="仿宋_GB2312"/>
          <w:sz w:val="36"/>
          <w:szCs w:val="32"/>
        </w:rPr>
        <w:t>。</w:t>
      </w:r>
    </w:p>
    <w:p>
      <w:pPr>
        <w:spacing w:line="600" w:lineRule="exact"/>
        <w:ind w:firstLine="0" w:firstLineChars="0"/>
        <w:outlineLvl w:val="0"/>
        <w:rPr>
          <w:rFonts w:ascii="仿宋_GB2312" w:hAnsi="仿宋_GB2312" w:cs="仿宋_GB2312"/>
          <w:sz w:val="32"/>
          <w:szCs w:val="32"/>
        </w:rPr>
      </w:pPr>
      <w:r>
        <w:rPr>
          <w:rFonts w:hint="eastAsia" w:ascii="仿宋_GB2312" w:hAnsi="仿宋_GB2312" w:cs="仿宋_GB2312"/>
          <w:sz w:val="32"/>
          <w:szCs w:val="32"/>
        </w:rPr>
        <w:t>5.进一步加强对绩效管理工作的组织领导，提高对预算绩效管理工作重要性的认识，总结经验查找问题，抓紧研究制定更全面更完善的绩效评价管理办法。结合食品安全考核建立绩效工作考核制度，加大全局对全面实施预算绩效管理和绩效管理工作的学习力度，让“花钱必问效，无效必问责”的理念深入工作每个环节。</w:t>
      </w:r>
    </w:p>
    <w:p>
      <w:pPr>
        <w:ind w:firstLine="560"/>
      </w:pPr>
    </w:p>
    <w:p>
      <w:pPr>
        <w:pStyle w:val="2"/>
        <w:ind w:firstLine="0" w:firstLineChars="0"/>
        <w:jc w:val="left"/>
        <w:rPr>
          <w:rFonts w:ascii="仿宋" w:hAnsi="仿宋" w:eastAsia="仿宋"/>
          <w:sz w:val="36"/>
          <w:szCs w:val="36"/>
          <w:lang w:bidi="en-US"/>
        </w:rPr>
      </w:pPr>
      <w:bookmarkStart w:id="63" w:name="_Toc165277260"/>
      <w:r>
        <w:rPr>
          <w:rFonts w:hint="eastAsia" w:ascii="仿宋" w:hAnsi="仿宋" w:eastAsia="仿宋"/>
          <w:sz w:val="36"/>
          <w:szCs w:val="36"/>
          <w:lang w:bidi="en-US"/>
        </w:rPr>
        <w:t>七、其他需要说明的问题</w:t>
      </w:r>
      <w:bookmarkEnd w:id="62"/>
      <w:bookmarkEnd w:id="63"/>
    </w:p>
    <w:p>
      <w:pPr>
        <w:spacing w:line="360" w:lineRule="auto"/>
        <w:ind w:firstLine="560"/>
        <w:rPr>
          <w:rFonts w:ascii="仿宋_GB2312"/>
          <w:szCs w:val="28"/>
        </w:rPr>
      </w:pPr>
      <w:r>
        <w:rPr>
          <w:rFonts w:hint="eastAsia" w:ascii="仿宋_GB2312"/>
          <w:szCs w:val="28"/>
        </w:rPr>
        <w:t>1</w:t>
      </w:r>
      <w:r>
        <w:rPr>
          <w:rFonts w:ascii="仿宋_GB2312"/>
          <w:szCs w:val="28"/>
        </w:rPr>
        <w:t>.</w:t>
      </w:r>
      <w:r>
        <w:rPr>
          <w:rFonts w:hint="eastAsia" w:ascii="仿宋_GB2312"/>
          <w:szCs w:val="28"/>
        </w:rPr>
        <w:t>项目支出政策和路径设计科学，符合实际需要；</w:t>
      </w:r>
    </w:p>
    <w:p>
      <w:pPr>
        <w:spacing w:line="360" w:lineRule="auto"/>
        <w:ind w:firstLine="560"/>
        <w:rPr>
          <w:rFonts w:ascii="仿宋_GB2312"/>
          <w:szCs w:val="28"/>
        </w:rPr>
      </w:pPr>
      <w:r>
        <w:rPr>
          <w:rFonts w:ascii="仿宋_GB2312"/>
          <w:szCs w:val="28"/>
        </w:rPr>
        <w:t>2.</w:t>
      </w:r>
      <w:r>
        <w:rPr>
          <w:rFonts w:hint="eastAsia" w:ascii="仿宋_GB2312"/>
          <w:szCs w:val="28"/>
        </w:rPr>
        <w:t>项目安排准确，未发现背离项目立项初衷的情况；</w:t>
      </w:r>
    </w:p>
    <w:p>
      <w:pPr>
        <w:spacing w:line="360" w:lineRule="auto"/>
        <w:ind w:firstLine="560"/>
        <w:rPr>
          <w:rFonts w:ascii="仿宋_GB2312"/>
          <w:szCs w:val="28"/>
        </w:rPr>
      </w:pPr>
      <w:r>
        <w:rPr>
          <w:rFonts w:ascii="仿宋_GB2312"/>
          <w:szCs w:val="28"/>
        </w:rPr>
        <w:t>3.</w:t>
      </w:r>
      <w:r>
        <w:rPr>
          <w:rFonts w:hint="eastAsia" w:ascii="仿宋_GB2312"/>
          <w:szCs w:val="28"/>
        </w:rPr>
        <w:t>项目的申报、审核机制完善；</w:t>
      </w:r>
    </w:p>
    <w:p>
      <w:pPr>
        <w:spacing w:line="360" w:lineRule="auto"/>
        <w:ind w:firstLine="560"/>
        <w:rPr>
          <w:rFonts w:ascii="仿宋_GB2312"/>
          <w:szCs w:val="28"/>
        </w:rPr>
      </w:pPr>
      <w:r>
        <w:rPr>
          <w:rFonts w:ascii="仿宋_GB2312"/>
          <w:szCs w:val="28"/>
        </w:rPr>
        <w:t>4.</w:t>
      </w:r>
      <w:r>
        <w:rPr>
          <w:rFonts w:hint="eastAsia" w:ascii="仿宋_GB2312"/>
          <w:szCs w:val="28"/>
        </w:rPr>
        <w:t>未发现虚假行为和骗取财政资金的问题。</w:t>
      </w:r>
    </w:p>
    <w:p>
      <w:pPr>
        <w:spacing w:line="360" w:lineRule="auto"/>
        <w:ind w:firstLine="560"/>
        <w:rPr>
          <w:rFonts w:ascii="仿宋_GB2312"/>
          <w:szCs w:val="28"/>
        </w:rPr>
      </w:pPr>
    </w:p>
    <w:sectPr>
      <w:headerReference r:id="rId11" w:type="default"/>
      <w:footerReference r:id="rId12"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Gungsuh">
    <w:panose1 w:val="02030600000101010101"/>
    <w:charset w:val="81"/>
    <w:family w:val="roman"/>
    <w:pitch w:val="default"/>
    <w:sig w:usb0="B00002AF" w:usb1="69D77CFB" w:usb2="00000030" w:usb3="00000000" w:csb0="4008009F" w:csb1="DFD7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docPartObj>
        <w:docPartGallery w:val="autotext"/>
      </w:docPartObj>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docPartObj>
        <w:docPartGallery w:val="autotext"/>
      </w:docPartObj>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23</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B34E0A"/>
    <w:multiLevelType w:val="singleLevel"/>
    <w:tmpl w:val="C5B34E0A"/>
    <w:lvl w:ilvl="0" w:tentative="0">
      <w:start w:val="6"/>
      <w:numFmt w:val="chineseCounting"/>
      <w:suff w:val="nothing"/>
      <w:lvlText w:val="%1、"/>
      <w:lvlJc w:val="left"/>
      <w:rPr>
        <w:rFonts w:hint="eastAsia"/>
        <w:lang w:val="en-US"/>
      </w:rPr>
    </w:lvl>
  </w:abstractNum>
  <w:abstractNum w:abstractNumId="1">
    <w:nsid w:val="CB40177C"/>
    <w:multiLevelType w:val="singleLevel"/>
    <w:tmpl w:val="CB40177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0A"/>
    <w:rsid w:val="00014E2A"/>
    <w:rsid w:val="00031A7F"/>
    <w:rsid w:val="00042151"/>
    <w:rsid w:val="000438A0"/>
    <w:rsid w:val="0007002C"/>
    <w:rsid w:val="00071C0F"/>
    <w:rsid w:val="00086724"/>
    <w:rsid w:val="000A2B58"/>
    <w:rsid w:val="000A43E8"/>
    <w:rsid w:val="000B520E"/>
    <w:rsid w:val="000B6FA0"/>
    <w:rsid w:val="000C22A1"/>
    <w:rsid w:val="000C720A"/>
    <w:rsid w:val="000C77D3"/>
    <w:rsid w:val="000E1EB5"/>
    <w:rsid w:val="000F5DE3"/>
    <w:rsid w:val="00111969"/>
    <w:rsid w:val="00147D9F"/>
    <w:rsid w:val="001544E6"/>
    <w:rsid w:val="001645EB"/>
    <w:rsid w:val="00187B13"/>
    <w:rsid w:val="001A3189"/>
    <w:rsid w:val="001A79B9"/>
    <w:rsid w:val="001C50BA"/>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7C09"/>
    <w:rsid w:val="002E1E67"/>
    <w:rsid w:val="002E608B"/>
    <w:rsid w:val="00302E15"/>
    <w:rsid w:val="0032183D"/>
    <w:rsid w:val="0032329D"/>
    <w:rsid w:val="00327F90"/>
    <w:rsid w:val="00332C71"/>
    <w:rsid w:val="00333EA5"/>
    <w:rsid w:val="00340CED"/>
    <w:rsid w:val="00343485"/>
    <w:rsid w:val="00350839"/>
    <w:rsid w:val="003766AB"/>
    <w:rsid w:val="00377BA7"/>
    <w:rsid w:val="003C24DB"/>
    <w:rsid w:val="003C4BD9"/>
    <w:rsid w:val="003D611E"/>
    <w:rsid w:val="003D74DE"/>
    <w:rsid w:val="00404C10"/>
    <w:rsid w:val="004249EE"/>
    <w:rsid w:val="00425C1F"/>
    <w:rsid w:val="00437C39"/>
    <w:rsid w:val="00453D4B"/>
    <w:rsid w:val="00472ADB"/>
    <w:rsid w:val="004925F6"/>
    <w:rsid w:val="004957B3"/>
    <w:rsid w:val="004B12BE"/>
    <w:rsid w:val="004B5A40"/>
    <w:rsid w:val="004D4759"/>
    <w:rsid w:val="004E0DF3"/>
    <w:rsid w:val="004E2CE9"/>
    <w:rsid w:val="004F17C9"/>
    <w:rsid w:val="004F66E9"/>
    <w:rsid w:val="00502EC2"/>
    <w:rsid w:val="005345BF"/>
    <w:rsid w:val="00534DD6"/>
    <w:rsid w:val="005417D4"/>
    <w:rsid w:val="0054442E"/>
    <w:rsid w:val="00546246"/>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6E7E"/>
    <w:rsid w:val="005B7A28"/>
    <w:rsid w:val="005D02D3"/>
    <w:rsid w:val="005D2F48"/>
    <w:rsid w:val="005D4D5B"/>
    <w:rsid w:val="005E2098"/>
    <w:rsid w:val="005F226E"/>
    <w:rsid w:val="005F273F"/>
    <w:rsid w:val="005F3A17"/>
    <w:rsid w:val="00604BA5"/>
    <w:rsid w:val="00607D5B"/>
    <w:rsid w:val="00611B95"/>
    <w:rsid w:val="00614CEC"/>
    <w:rsid w:val="00627F97"/>
    <w:rsid w:val="0065079B"/>
    <w:rsid w:val="00656DB7"/>
    <w:rsid w:val="00662C67"/>
    <w:rsid w:val="006B60FE"/>
    <w:rsid w:val="006C40AE"/>
    <w:rsid w:val="006E6431"/>
    <w:rsid w:val="006F3315"/>
    <w:rsid w:val="007027A1"/>
    <w:rsid w:val="00705854"/>
    <w:rsid w:val="00722A72"/>
    <w:rsid w:val="0073210F"/>
    <w:rsid w:val="00733402"/>
    <w:rsid w:val="0073417E"/>
    <w:rsid w:val="00743F96"/>
    <w:rsid w:val="007513FC"/>
    <w:rsid w:val="0076734C"/>
    <w:rsid w:val="0078063A"/>
    <w:rsid w:val="00783118"/>
    <w:rsid w:val="00794639"/>
    <w:rsid w:val="007A772C"/>
    <w:rsid w:val="007C3F63"/>
    <w:rsid w:val="007F185A"/>
    <w:rsid w:val="007F6051"/>
    <w:rsid w:val="007F6745"/>
    <w:rsid w:val="007F77F3"/>
    <w:rsid w:val="008123C5"/>
    <w:rsid w:val="008175A9"/>
    <w:rsid w:val="00831695"/>
    <w:rsid w:val="008327EB"/>
    <w:rsid w:val="00835535"/>
    <w:rsid w:val="00845BE2"/>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972CB"/>
    <w:rsid w:val="009A33B6"/>
    <w:rsid w:val="009A452D"/>
    <w:rsid w:val="009D4C5C"/>
    <w:rsid w:val="009F1224"/>
    <w:rsid w:val="009F55B0"/>
    <w:rsid w:val="00A00443"/>
    <w:rsid w:val="00A106CE"/>
    <w:rsid w:val="00A2064E"/>
    <w:rsid w:val="00A22963"/>
    <w:rsid w:val="00A425B1"/>
    <w:rsid w:val="00A43A0A"/>
    <w:rsid w:val="00A52E6C"/>
    <w:rsid w:val="00A52E72"/>
    <w:rsid w:val="00A675F9"/>
    <w:rsid w:val="00A92F9F"/>
    <w:rsid w:val="00AB00FF"/>
    <w:rsid w:val="00AB7184"/>
    <w:rsid w:val="00AD5430"/>
    <w:rsid w:val="00AE1DCD"/>
    <w:rsid w:val="00AE430D"/>
    <w:rsid w:val="00AE6C31"/>
    <w:rsid w:val="00AF5516"/>
    <w:rsid w:val="00B22F6F"/>
    <w:rsid w:val="00B4167E"/>
    <w:rsid w:val="00B56B1B"/>
    <w:rsid w:val="00B72218"/>
    <w:rsid w:val="00B90BA4"/>
    <w:rsid w:val="00B928FF"/>
    <w:rsid w:val="00B962E0"/>
    <w:rsid w:val="00BA0A35"/>
    <w:rsid w:val="00BA10B1"/>
    <w:rsid w:val="00BA13B7"/>
    <w:rsid w:val="00BA65B8"/>
    <w:rsid w:val="00BA76B5"/>
    <w:rsid w:val="00BC5C63"/>
    <w:rsid w:val="00BC7DB5"/>
    <w:rsid w:val="00BD263E"/>
    <w:rsid w:val="00BF1766"/>
    <w:rsid w:val="00C00DA2"/>
    <w:rsid w:val="00C10C79"/>
    <w:rsid w:val="00C11A7F"/>
    <w:rsid w:val="00C20C51"/>
    <w:rsid w:val="00C37B16"/>
    <w:rsid w:val="00C409B9"/>
    <w:rsid w:val="00C634EC"/>
    <w:rsid w:val="00C66545"/>
    <w:rsid w:val="00C8191C"/>
    <w:rsid w:val="00C927D9"/>
    <w:rsid w:val="00CA74C5"/>
    <w:rsid w:val="00CB3DFC"/>
    <w:rsid w:val="00CB6D38"/>
    <w:rsid w:val="00CE6337"/>
    <w:rsid w:val="00CF640C"/>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C5F03"/>
    <w:rsid w:val="00ED7144"/>
    <w:rsid w:val="00EE20A2"/>
    <w:rsid w:val="00EF3B51"/>
    <w:rsid w:val="00F06D23"/>
    <w:rsid w:val="00F36E98"/>
    <w:rsid w:val="00F52C6D"/>
    <w:rsid w:val="00F55451"/>
    <w:rsid w:val="00F73710"/>
    <w:rsid w:val="00F872E7"/>
    <w:rsid w:val="00F95197"/>
    <w:rsid w:val="00FA4373"/>
    <w:rsid w:val="00FB09C6"/>
    <w:rsid w:val="00FB2BBD"/>
    <w:rsid w:val="00FD7A36"/>
    <w:rsid w:val="00FD7C5F"/>
    <w:rsid w:val="00FE193C"/>
    <w:rsid w:val="00FE7DCA"/>
    <w:rsid w:val="00FF0452"/>
    <w:rsid w:val="032319E8"/>
    <w:rsid w:val="06B97816"/>
    <w:rsid w:val="0C4A177F"/>
    <w:rsid w:val="294062D3"/>
    <w:rsid w:val="5C442DE6"/>
    <w:rsid w:val="6C453E6C"/>
    <w:rsid w:val="7E31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1"/>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4"/>
    <w:semiHidden/>
    <w:unhideWhenUsed/>
    <w:qFormat/>
    <w:uiPriority w:val="99"/>
    <w:pPr>
      <w:ind w:left="100" w:leftChars="2500"/>
    </w:pPr>
  </w:style>
  <w:style w:type="paragraph" w:styleId="8">
    <w:name w:val="Balloon Text"/>
    <w:basedOn w:val="1"/>
    <w:link w:val="33"/>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footnote text"/>
    <w:basedOn w:val="1"/>
    <w:link w:val="26"/>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Title"/>
    <w:basedOn w:val="1"/>
    <w:next w:val="1"/>
    <w:link w:val="35"/>
    <w:qFormat/>
    <w:uiPriority w:val="10"/>
    <w:pPr>
      <w:spacing w:before="240" w:after="60"/>
      <w:ind w:firstLine="0" w:firstLineChars="0"/>
      <w:jc w:val="center"/>
      <w:outlineLvl w:val="0"/>
    </w:pPr>
    <w:rPr>
      <w:rFonts w:eastAsia="宋体" w:asciiTheme="majorHAnsi" w:hAnsiTheme="majorHAnsi" w:cstheme="majorBidi"/>
      <w:b/>
      <w:bCs/>
      <w:sz w:val="32"/>
      <w:szCs w:val="32"/>
    </w:rPr>
  </w:style>
  <w:style w:type="paragraph" w:styleId="15">
    <w:name w:val="annotation subject"/>
    <w:basedOn w:val="5"/>
    <w:next w:val="5"/>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styleId="21">
    <w:name w:val="footnote reference"/>
    <w:basedOn w:val="18"/>
    <w:semiHidden/>
    <w:unhideWhenUsed/>
    <w:qFormat/>
    <w:uiPriority w:val="99"/>
    <w:rPr>
      <w:vertAlign w:val="superscript"/>
    </w:rPr>
  </w:style>
  <w:style w:type="character" w:customStyle="1" w:styleId="22">
    <w:name w:val="页眉 Char"/>
    <w:basedOn w:val="18"/>
    <w:link w:val="10"/>
    <w:qFormat/>
    <w:uiPriority w:val="99"/>
    <w:rPr>
      <w:sz w:val="18"/>
      <w:szCs w:val="18"/>
    </w:rPr>
  </w:style>
  <w:style w:type="character" w:customStyle="1" w:styleId="23">
    <w:name w:val="页脚 Char"/>
    <w:basedOn w:val="18"/>
    <w:link w:val="9"/>
    <w:qFormat/>
    <w:uiPriority w:val="99"/>
    <w:rPr>
      <w:sz w:val="18"/>
      <w:szCs w:val="18"/>
    </w:rPr>
  </w:style>
  <w:style w:type="character" w:customStyle="1" w:styleId="24">
    <w:name w:val="日期 Char"/>
    <w:basedOn w:val="18"/>
    <w:link w:val="7"/>
    <w:semiHidden/>
    <w:qFormat/>
    <w:uiPriority w:val="99"/>
    <w:rPr>
      <w:rFonts w:ascii="Calibri" w:hAnsi="Calibri" w:eastAsia="仿宋_GB2312" w:cs="黑体"/>
      <w:sz w:val="28"/>
    </w:rPr>
  </w:style>
  <w:style w:type="character" w:customStyle="1" w:styleId="25">
    <w:name w:val="标题 2 Char"/>
    <w:basedOn w:val="18"/>
    <w:link w:val="3"/>
    <w:qFormat/>
    <w:uiPriority w:val="9"/>
    <w:rPr>
      <w:rFonts w:asciiTheme="majorHAnsi" w:hAnsiTheme="majorHAnsi" w:eastAsiaTheme="majorEastAsia" w:cstheme="majorBidi"/>
      <w:b/>
      <w:bCs/>
      <w:sz w:val="32"/>
      <w:szCs w:val="32"/>
    </w:rPr>
  </w:style>
  <w:style w:type="character" w:customStyle="1" w:styleId="26">
    <w:name w:val="脚注文本 Char"/>
    <w:basedOn w:val="18"/>
    <w:link w:val="12"/>
    <w:semiHidden/>
    <w:qFormat/>
    <w:uiPriority w:val="99"/>
    <w:rPr>
      <w:rFonts w:ascii="Calibri" w:hAnsi="Calibri" w:eastAsia="仿宋_GB2312" w:cs="黑体"/>
      <w:sz w:val="18"/>
      <w:szCs w:val="18"/>
    </w:rPr>
  </w:style>
  <w:style w:type="paragraph" w:styleId="27">
    <w:name w:val="List Paragraph"/>
    <w:basedOn w:val="1"/>
    <w:qFormat/>
    <w:uiPriority w:val="34"/>
    <w:pPr>
      <w:ind w:firstLine="420"/>
    </w:pPr>
  </w:style>
  <w:style w:type="table" w:customStyle="1" w:styleId="28">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标题 1 Char"/>
    <w:basedOn w:val="18"/>
    <w:link w:val="2"/>
    <w:qFormat/>
    <w:uiPriority w:val="9"/>
    <w:rPr>
      <w:rFonts w:ascii="Calibri" w:hAnsi="Calibri" w:eastAsia="仿宋_GB2312" w:cs="黑体"/>
      <w:b/>
      <w:bCs/>
      <w:kern w:val="44"/>
      <w:sz w:val="44"/>
      <w:szCs w:val="44"/>
    </w:rPr>
  </w:style>
  <w:style w:type="paragraph" w:customStyle="1" w:styleId="30">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1">
    <w:name w:val="批注文字 Char"/>
    <w:basedOn w:val="18"/>
    <w:link w:val="5"/>
    <w:qFormat/>
    <w:uiPriority w:val="99"/>
    <w:rPr>
      <w:rFonts w:ascii="Calibri" w:hAnsi="Calibri" w:eastAsia="仿宋_GB2312" w:cs="黑体"/>
      <w:sz w:val="28"/>
    </w:rPr>
  </w:style>
  <w:style w:type="character" w:customStyle="1" w:styleId="32">
    <w:name w:val="批注主题 Char"/>
    <w:basedOn w:val="31"/>
    <w:link w:val="15"/>
    <w:semiHidden/>
    <w:qFormat/>
    <w:uiPriority w:val="99"/>
    <w:rPr>
      <w:rFonts w:ascii="Calibri" w:hAnsi="Calibri" w:eastAsia="仿宋_GB2312" w:cs="黑体"/>
      <w:b/>
      <w:bCs/>
      <w:sz w:val="28"/>
    </w:rPr>
  </w:style>
  <w:style w:type="character" w:customStyle="1" w:styleId="33">
    <w:name w:val="批注框文本 Char"/>
    <w:basedOn w:val="18"/>
    <w:link w:val="8"/>
    <w:semiHidden/>
    <w:qFormat/>
    <w:uiPriority w:val="99"/>
    <w:rPr>
      <w:rFonts w:ascii="Calibri" w:hAnsi="Calibri" w:eastAsia="仿宋_GB2312" w:cs="黑体"/>
      <w:sz w:val="18"/>
      <w:szCs w:val="18"/>
    </w:rPr>
  </w:style>
  <w:style w:type="character" w:customStyle="1" w:styleId="34">
    <w:name w:val="标题 3 Char"/>
    <w:basedOn w:val="18"/>
    <w:link w:val="4"/>
    <w:qFormat/>
    <w:uiPriority w:val="9"/>
    <w:rPr>
      <w:rFonts w:ascii="Calibri" w:hAnsi="Calibri" w:eastAsia="仿宋_GB2312" w:cs="黑体"/>
      <w:b/>
      <w:bCs/>
      <w:sz w:val="32"/>
      <w:szCs w:val="32"/>
    </w:rPr>
  </w:style>
  <w:style w:type="character" w:customStyle="1" w:styleId="35">
    <w:name w:val="标题 Char"/>
    <w:basedOn w:val="18"/>
    <w:link w:val="14"/>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7A0A4-E5A6-441F-B133-DB75E26C6471}">
  <ds:schemaRefs/>
</ds:datastoreItem>
</file>

<file path=docProps/app.xml><?xml version="1.0" encoding="utf-8"?>
<Properties xmlns="http://schemas.openxmlformats.org/officeDocument/2006/extended-properties" xmlns:vt="http://schemas.openxmlformats.org/officeDocument/2006/docPropsVTypes">
  <Template>Normal</Template>
  <Pages>27</Pages>
  <Words>2181</Words>
  <Characters>12436</Characters>
  <Lines>103</Lines>
  <Paragraphs>29</Paragraphs>
  <TotalTime>132</TotalTime>
  <ScaleCrop>false</ScaleCrop>
  <LinksUpToDate>false</LinksUpToDate>
  <CharactersWithSpaces>14588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2024-04-12T07:46:00Z</dcterms:created>
  <dc:creator>张 宇</dc:creator>
  <cp:lastModifiedBy>Administrator</cp:lastModifiedBy>
  <cp:lastPrinted>2023-04-11T02:57:00Z</cp:lastPrinted>
  <dcterms:modified xsi:type="dcterms:W3CDTF">2025-01-08T05:25:15Z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