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rPr>
          <w:rFonts w:ascii="仿宋_GB2312" w:hAnsi="Arial"/>
          <w:b/>
          <w:sz w:val="44"/>
          <w:szCs w:val="44"/>
        </w:rPr>
      </w:pPr>
      <w:r>
        <w:rPr>
          <w:rFonts w:hint="eastAsia" w:ascii="仿宋_GB2312" w:hAnsi="Arial"/>
          <w:b/>
          <w:sz w:val="44"/>
          <w:szCs w:val="44"/>
        </w:rPr>
        <w:t>财政项目支出绩效评价报告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firstLine="1411" w:firstLineChars="441"/>
        <w:jc w:val="left"/>
        <w:rPr>
          <w:rFonts w:hint="eastAsia" w:ascii="仿宋_GB2312" w:hAnsi="Times New Roman" w:eastAsia="仿宋_GB2312" w:cs="Times New Roman"/>
          <w:kern w:val="0"/>
          <w:sz w:val="32"/>
          <w:szCs w:val="32"/>
          <w:lang w:eastAsia="zh-CN" w:bidi="en-US"/>
        </w:rPr>
      </w:pPr>
      <w:r>
        <w:rPr>
          <w:rFonts w:hint="eastAsia" w:ascii="仿宋_GB2312" w:hAnsi="Times New Roman" w:cs="Times New Roman"/>
          <w:kern w:val="0"/>
          <w:sz w:val="32"/>
          <w:szCs w:val="32"/>
          <w:lang w:bidi="en-US"/>
        </w:rPr>
        <w:t>项目名称：</w:t>
      </w:r>
      <w:r>
        <w:rPr>
          <w:rFonts w:hint="eastAsia" w:ascii="仿宋_GB2312" w:hAnsi="Times New Roman" w:cs="Times New Roman"/>
          <w:kern w:val="0"/>
          <w:sz w:val="32"/>
          <w:szCs w:val="32"/>
          <w:lang w:eastAsia="zh-CN" w:bidi="en-US"/>
        </w:rPr>
        <w:t>戏曲公益性演出（戏曲进乡村）</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项目单位：</w:t>
      </w:r>
      <w:r>
        <w:rPr>
          <w:rFonts w:hint="eastAsia" w:ascii="仿宋_GB2312" w:hAnsi="Times New Roman" w:cs="Times New Roman"/>
          <w:kern w:val="0"/>
          <w:sz w:val="32"/>
          <w:szCs w:val="32"/>
          <w:lang w:eastAsia="zh-CN" w:bidi="en-US"/>
        </w:rPr>
        <w:t>乌鲁木齐市秦剧团（新疆秦剧团）</w:t>
      </w:r>
      <w:r>
        <w:rPr>
          <w:rFonts w:ascii="仿宋_GB2312" w:hAnsi="Times New Roman" w:cs="Times New Roman"/>
          <w:kern w:val="0"/>
          <w:sz w:val="32"/>
          <w:szCs w:val="32"/>
          <w:lang w:bidi="en-US"/>
        </w:rPr>
        <w:t xml:space="preserve"> </w:t>
      </w:r>
    </w:p>
    <w:p>
      <w:pPr>
        <w:spacing w:line="480" w:lineRule="auto"/>
        <w:ind w:left="280" w:leftChars="100" w:firstLine="1091" w:firstLineChars="341"/>
        <w:jc w:val="left"/>
        <w:rPr>
          <w:rFonts w:hint="eastAsia" w:ascii="仿宋_GB2312" w:hAnsi="Times New Roman" w:eastAsia="仿宋_GB2312" w:cs="Times New Roman"/>
          <w:kern w:val="0"/>
          <w:sz w:val="32"/>
          <w:szCs w:val="32"/>
          <w:lang w:eastAsia="zh-CN" w:bidi="en-US"/>
        </w:rPr>
      </w:pPr>
      <w:r>
        <w:rPr>
          <w:rFonts w:hint="eastAsia" w:ascii="仿宋_GB2312" w:hAnsi="Times New Roman" w:cs="Times New Roman"/>
          <w:kern w:val="0"/>
          <w:sz w:val="32"/>
          <w:szCs w:val="32"/>
          <w:lang w:bidi="en-US"/>
        </w:rPr>
        <w:t>主管部门：</w:t>
      </w:r>
      <w:r>
        <w:rPr>
          <w:rFonts w:hint="eastAsia" w:ascii="仿宋_GB2312" w:hAnsi="Times New Roman" w:cs="Times New Roman"/>
          <w:kern w:val="0"/>
          <w:sz w:val="32"/>
          <w:szCs w:val="32"/>
          <w:lang w:eastAsia="zh-CN" w:bidi="en-US"/>
        </w:rPr>
        <w:t>乌鲁木齐市文化和旅游局（乌市文物局）</w:t>
      </w:r>
    </w:p>
    <w:p>
      <w:pPr>
        <w:spacing w:line="480" w:lineRule="auto"/>
        <w:ind w:firstLine="1411" w:firstLineChars="441"/>
        <w:jc w:val="left"/>
        <w:rPr>
          <w:rFonts w:ascii="仿宋_GB2312" w:hAnsi="Times New Roman" w:cs="Times New Roman"/>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jc w:val="center"/>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2023年0</w:t>
      </w:r>
      <w:r>
        <w:rPr>
          <w:rFonts w:ascii="仿宋_GB2312" w:hAnsi="Times New Roman" w:cs="Times New Roman"/>
          <w:kern w:val="0"/>
          <w:sz w:val="32"/>
          <w:szCs w:val="32"/>
          <w:lang w:bidi="en-US"/>
        </w:rPr>
        <w:t>4</w:t>
      </w:r>
      <w:r>
        <w:rPr>
          <w:rFonts w:hint="eastAsia" w:ascii="仿宋_GB2312" w:hAnsi="Times New Roman" w:cs="Times New Roman"/>
          <w:kern w:val="0"/>
          <w:sz w:val="32"/>
          <w:szCs w:val="32"/>
          <w:lang w:bidi="en-US"/>
        </w:rPr>
        <w:t>月</w:t>
      </w:r>
    </w:p>
    <w:p>
      <w:pPr>
        <w:spacing w:line="480" w:lineRule="auto"/>
        <w:ind w:firstLine="0" w:firstLineChars="0"/>
        <w:jc w:val="center"/>
        <w:rPr>
          <w:rFonts w:ascii="仿宋_GB2312" w:hAnsi="Times New Roman" w:cs="Times New Roman"/>
          <w:kern w:val="0"/>
          <w:sz w:val="32"/>
          <w:szCs w:val="32"/>
          <w:lang w:bidi="en-US"/>
        </w:rPr>
      </w:pPr>
    </w:p>
    <w:p>
      <w:pPr>
        <w:tabs>
          <w:tab w:val="left" w:pos="3324"/>
        </w:tabs>
        <w:spacing w:line="480" w:lineRule="auto"/>
        <w:ind w:firstLine="0" w:firstLineChars="0"/>
        <w:rPr>
          <w:rFonts w:ascii="仿宋_GB2312" w:hAnsi="Times New Roman" w:cs="Times New Roman"/>
          <w:kern w:val="0"/>
          <w:sz w:val="32"/>
          <w:szCs w:val="32"/>
          <w:lang w:bidi="en-US"/>
        </w:rPr>
      </w:pPr>
      <w:r>
        <w:rPr>
          <w:rFonts w:ascii="仿宋_GB2312" w:hAnsi="Times New Roman" w:cs="Times New Roman"/>
          <w:kern w:val="0"/>
          <w:sz w:val="32"/>
          <w:szCs w:val="32"/>
          <w:lang w:bidi="en-US"/>
        </w:rPr>
        <w:tab/>
      </w:r>
    </w:p>
    <w:p>
      <w:pPr>
        <w:ind w:firstLine="640"/>
        <w:rPr>
          <w:rFonts w:ascii="仿宋_GB2312" w:hAnsi="Times New Roman" w:cs="Times New Roman"/>
          <w:kern w:val="0"/>
          <w:sz w:val="32"/>
          <w:szCs w:val="32"/>
          <w:lang w:bidi="en-US"/>
        </w:rPr>
      </w:pPr>
    </w:p>
    <w:sdt>
      <w:sdtPr>
        <w:rPr>
          <w:rFonts w:ascii="Calibri" w:hAnsi="Calibri" w:eastAsia="仿宋_GB2312" w:cs="黑体"/>
          <w:color w:val="auto"/>
          <w:kern w:val="2"/>
          <w:sz w:val="28"/>
          <w:szCs w:val="22"/>
          <w:lang w:val="zh-CN"/>
        </w:rPr>
        <w:id w:val="-1822651860"/>
        <w:docPartObj>
          <w:docPartGallery w:val="Table of Contents"/>
          <w:docPartUnique/>
        </w:docPartObj>
      </w:sdtPr>
      <w:sdtEndPr>
        <w:rPr>
          <w:rFonts w:ascii="Calibri" w:hAnsi="Calibri" w:eastAsia="仿宋_GB2312" w:cs="黑体"/>
          <w:b/>
          <w:bCs/>
          <w:color w:val="auto"/>
          <w:kern w:val="2"/>
          <w:sz w:val="28"/>
          <w:szCs w:val="22"/>
          <w:lang w:val="zh-CN"/>
        </w:rPr>
      </w:sdtEndPr>
      <w:sdtContent>
        <w:p>
          <w:pPr>
            <w:pStyle w:val="32"/>
            <w:ind w:firstLine="560"/>
            <w:jc w:val="center"/>
          </w:pPr>
          <w:r>
            <w:rPr>
              <w:lang w:val="zh-CN"/>
            </w:rPr>
            <w:t>目录</w:t>
          </w:r>
        </w:p>
        <w:p>
          <w:pPr>
            <w:pStyle w:val="14"/>
            <w:tabs>
              <w:tab w:val="right" w:leader="dot" w:pos="8296"/>
            </w:tabs>
            <w:ind w:firstLine="56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"_Toc165277220" </w:instrText>
          </w:r>
          <w:r>
            <w:fldChar w:fldCharType="separate"/>
          </w:r>
          <w:r>
            <w:rPr>
              <w:rStyle w:val="21"/>
              <w:rFonts w:hint="eastAsia" w:ascii="仿宋" w:hAnsi="仿宋" w:eastAsia="仿宋"/>
              <w:lang w:bidi="en-US"/>
            </w:rPr>
            <w:t>一、基本情况</w:t>
          </w:r>
          <w:r>
            <w:tab/>
          </w:r>
          <w:r>
            <w:fldChar w:fldCharType="begin"/>
          </w:r>
          <w:r>
            <w:instrText xml:space="preserve"> PAGEREF _Toc165277220 \h </w:instrText>
          </w:r>
          <w:r>
            <w:fldChar w:fldCharType="separate"/>
          </w:r>
          <w:r>
            <w:t>1</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"_Toc165277221" </w:instrText>
          </w:r>
          <w:r>
            <w:fldChar w:fldCharType="separate"/>
          </w:r>
          <w:r>
            <w:rPr>
              <w:rStyle w:val="21"/>
              <w:rFonts w:hint="eastAsia" w:ascii="仿宋" w:hAnsi="仿宋" w:eastAsia="仿宋"/>
              <w:lang w:bidi="en-US"/>
            </w:rPr>
            <w:t>（一）项目概况：</w:t>
          </w:r>
          <w:r>
            <w:tab/>
          </w:r>
          <w:r>
            <w:fldChar w:fldCharType="begin"/>
          </w:r>
          <w:r>
            <w:instrText xml:space="preserve"> PAGEREF _Toc165277221 \h </w:instrText>
          </w:r>
          <w:r>
            <w:fldChar w:fldCharType="separate"/>
          </w:r>
          <w:r>
            <w:t>1</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"_Toc165277222" </w:instrText>
          </w:r>
          <w:r>
            <w:fldChar w:fldCharType="separate"/>
          </w:r>
          <w:r>
            <w:rPr>
              <w:rStyle w:val="21"/>
            </w:rPr>
            <w:t>1</w:t>
          </w:r>
          <w:r>
            <w:rPr>
              <w:rStyle w:val="21"/>
              <w:rFonts w:hint="eastAsia"/>
            </w:rPr>
            <w:t>．项目背景、主要内容及实施情况</w:t>
          </w:r>
          <w:r>
            <w:tab/>
          </w:r>
          <w:r>
            <w:fldChar w:fldCharType="begin"/>
          </w:r>
          <w:r>
            <w:instrText xml:space="preserve"> PAGEREF _Toc165277222 \h </w:instrText>
          </w:r>
          <w:r>
            <w:fldChar w:fldCharType="separate"/>
          </w:r>
          <w:r>
            <w:t>1</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"_Toc165277223" </w:instrText>
          </w:r>
          <w:r>
            <w:fldChar w:fldCharType="separate"/>
          </w:r>
          <w:r>
            <w:rPr>
              <w:rStyle w:val="21"/>
            </w:rPr>
            <w:t>2.</w:t>
          </w:r>
          <w:r>
            <w:rPr>
              <w:rStyle w:val="21"/>
              <w:rFonts w:hint="eastAsia"/>
            </w:rPr>
            <w:t>资金投入和使用情况</w:t>
          </w:r>
          <w:r>
            <w:tab/>
          </w:r>
          <w:r>
            <w:fldChar w:fldCharType="begin"/>
          </w:r>
          <w:r>
            <w:instrText xml:space="preserve"> PAGEREF _Toc165277223 \h </w:instrText>
          </w:r>
          <w:r>
            <w:fldChar w:fldCharType="separate"/>
          </w:r>
          <w:r>
            <w:t>2</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"_Toc165277224" </w:instrText>
          </w:r>
          <w:r>
            <w:fldChar w:fldCharType="separate"/>
          </w:r>
          <w:r>
            <w:rPr>
              <w:rStyle w:val="21"/>
              <w:rFonts w:hint="eastAsia" w:ascii="仿宋" w:hAnsi="仿宋" w:eastAsia="仿宋"/>
              <w:lang w:bidi="en-US"/>
            </w:rPr>
            <w:t>（二）项目绩效目标：</w:t>
          </w:r>
          <w:r>
            <w:tab/>
          </w:r>
          <w:r>
            <w:fldChar w:fldCharType="begin"/>
          </w:r>
          <w:r>
            <w:instrText xml:space="preserve"> PAGEREF _Toc165277224 \h </w:instrText>
          </w:r>
          <w:r>
            <w:fldChar w:fldCharType="separate"/>
          </w:r>
          <w:r>
            <w:t>3</w:t>
          </w:r>
          <w:r>
            <w:fldChar w:fldCharType="end"/>
          </w:r>
          <w:r>
            <w:fldChar w:fldCharType="end"/>
          </w:r>
        </w:p>
        <w:p>
          <w:pPr>
            <w:pStyle w:val="14"/>
            <w:tabs>
              <w:tab w:val="right" w:leader="dot" w:pos="8296"/>
            </w:tabs>
            <w:ind w:firstLine="560"/>
            <w:rPr>
              <w:rFonts w:asciiTheme="minorHAnsi" w:hAnsiTheme="minorHAnsi" w:eastAsiaTheme="minorEastAsia" w:cstheme="minorBidi"/>
              <w:sz w:val="21"/>
            </w:rPr>
          </w:pPr>
          <w:r>
            <w:fldChar w:fldCharType="begin"/>
          </w:r>
          <w:r>
            <w:instrText xml:space="preserve"> HYPERLINK \l "_Toc165277225" </w:instrText>
          </w:r>
          <w:r>
            <w:fldChar w:fldCharType="separate"/>
          </w:r>
          <w:r>
            <w:rPr>
              <w:rStyle w:val="21"/>
              <w:rFonts w:hint="eastAsia" w:ascii="仿宋" w:hAnsi="仿宋" w:eastAsia="仿宋"/>
              <w:lang w:bidi="en-US"/>
            </w:rPr>
            <w:t>二、绩效评价工作开展情况</w:t>
          </w:r>
          <w:r>
            <w:tab/>
          </w:r>
          <w:r>
            <w:fldChar w:fldCharType="begin"/>
          </w:r>
          <w:r>
            <w:instrText xml:space="preserve"> PAGEREF _Toc165277225 \h </w:instrText>
          </w:r>
          <w:r>
            <w:fldChar w:fldCharType="separate"/>
          </w:r>
          <w:r>
            <w:t>4</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"_Toc165277226" </w:instrText>
          </w:r>
          <w:r>
            <w:fldChar w:fldCharType="separate"/>
          </w:r>
          <w:r>
            <w:rPr>
              <w:rStyle w:val="21"/>
              <w:rFonts w:hint="eastAsia" w:ascii="仿宋" w:hAnsi="仿宋" w:eastAsia="仿宋"/>
              <w:lang w:bidi="en-US"/>
            </w:rPr>
            <w:t>（一）绩效评价目的、对象和范围</w:t>
          </w:r>
          <w:r>
            <w:tab/>
          </w:r>
          <w:r>
            <w:fldChar w:fldCharType="begin"/>
          </w:r>
          <w:r>
            <w:instrText xml:space="preserve"> PAGEREF _Toc165277226 \h </w:instrText>
          </w:r>
          <w:r>
            <w:fldChar w:fldCharType="separate"/>
          </w:r>
          <w:r>
            <w:t>4</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"_Toc165277227" </w:instrText>
          </w:r>
          <w:r>
            <w:fldChar w:fldCharType="separate"/>
          </w:r>
          <w:r>
            <w:rPr>
              <w:rStyle w:val="21"/>
            </w:rPr>
            <w:t>1.</w:t>
          </w:r>
          <w:r>
            <w:rPr>
              <w:rStyle w:val="21"/>
              <w:rFonts w:hint="eastAsia"/>
            </w:rPr>
            <w:t>绩效评价完整性</w:t>
          </w:r>
          <w:r>
            <w:tab/>
          </w:r>
          <w:r>
            <w:fldChar w:fldCharType="begin"/>
          </w:r>
          <w:r>
            <w:instrText xml:space="preserve"> PAGEREF _Toc165277227 \h </w:instrText>
          </w:r>
          <w:r>
            <w:fldChar w:fldCharType="separate"/>
          </w:r>
          <w:r>
            <w:t>4</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"_Toc165277228" </w:instrText>
          </w:r>
          <w:r>
            <w:fldChar w:fldCharType="separate"/>
          </w:r>
          <w:r>
            <w:rPr>
              <w:rStyle w:val="21"/>
            </w:rPr>
            <w:t>2.</w:t>
          </w:r>
          <w:r>
            <w:rPr>
              <w:rStyle w:val="21"/>
              <w:rFonts w:hint="eastAsia"/>
            </w:rPr>
            <w:t>评价目的</w:t>
          </w:r>
          <w:r>
            <w:tab/>
          </w:r>
          <w:r>
            <w:fldChar w:fldCharType="begin"/>
          </w:r>
          <w:r>
            <w:instrText xml:space="preserve"> PAGEREF _Toc165277228 \h </w:instrText>
          </w:r>
          <w:r>
            <w:fldChar w:fldCharType="separate"/>
          </w:r>
          <w:r>
            <w:t>4</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"_Toc165277229" </w:instrText>
          </w:r>
          <w:r>
            <w:fldChar w:fldCharType="separate"/>
          </w:r>
          <w:r>
            <w:rPr>
              <w:rStyle w:val="21"/>
            </w:rPr>
            <w:t>3.</w:t>
          </w:r>
          <w:r>
            <w:rPr>
              <w:rStyle w:val="21"/>
              <w:rFonts w:hint="eastAsia"/>
            </w:rPr>
            <w:t>评价对象</w:t>
          </w:r>
          <w:r>
            <w:tab/>
          </w:r>
          <w:r>
            <w:fldChar w:fldCharType="begin"/>
          </w:r>
          <w:r>
            <w:instrText xml:space="preserve"> PAGEREF _Toc165277229 \h </w:instrText>
          </w:r>
          <w:r>
            <w:fldChar w:fldCharType="separate"/>
          </w:r>
          <w:r>
            <w:t>5</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"_Toc165277230" </w:instrText>
          </w:r>
          <w:r>
            <w:fldChar w:fldCharType="separate"/>
          </w:r>
          <w:r>
            <w:rPr>
              <w:rStyle w:val="21"/>
            </w:rPr>
            <w:t>4.</w:t>
          </w:r>
          <w:r>
            <w:rPr>
              <w:rStyle w:val="21"/>
              <w:rFonts w:hint="eastAsia"/>
            </w:rPr>
            <w:t>绩效评价范围</w:t>
          </w:r>
          <w:r>
            <w:tab/>
          </w:r>
          <w:r>
            <w:fldChar w:fldCharType="begin"/>
          </w:r>
          <w:r>
            <w:instrText xml:space="preserve"> PAGEREF _Toc165277230 \h </w:instrText>
          </w:r>
          <w:r>
            <w:fldChar w:fldCharType="separate"/>
          </w:r>
          <w:r>
            <w:t>5</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"_Toc165277231" </w:instrText>
          </w:r>
          <w:r>
            <w:fldChar w:fldCharType="separate"/>
          </w:r>
          <w:r>
            <w:rPr>
              <w:rStyle w:val="21"/>
              <w:rFonts w:hint="eastAsia" w:ascii="仿宋" w:hAnsi="仿宋" w:eastAsia="仿宋"/>
              <w:lang w:bidi="en-US"/>
            </w:rPr>
            <w:t>（二）绩效评价原则、指标体系、方法及标准</w:t>
          </w:r>
          <w:r>
            <w:tab/>
          </w:r>
          <w:r>
            <w:fldChar w:fldCharType="begin"/>
          </w:r>
          <w:r>
            <w:instrText xml:space="preserve"> PAGEREF _Toc165277231 \h </w:instrText>
          </w:r>
          <w:r>
            <w:fldChar w:fldCharType="separate"/>
          </w:r>
          <w:r>
            <w:t>6</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"_Toc165277232" </w:instrText>
          </w:r>
          <w:r>
            <w:fldChar w:fldCharType="separate"/>
          </w:r>
          <w:r>
            <w:rPr>
              <w:rStyle w:val="21"/>
            </w:rPr>
            <w:t>1.</w:t>
          </w:r>
          <w:r>
            <w:rPr>
              <w:rStyle w:val="21"/>
              <w:rFonts w:hint="eastAsia"/>
            </w:rPr>
            <w:t>评价原则</w:t>
          </w:r>
          <w:r>
            <w:tab/>
          </w:r>
          <w:r>
            <w:fldChar w:fldCharType="begin"/>
          </w:r>
          <w:r>
            <w:instrText xml:space="preserve"> PAGEREF _Toc165277232 \h </w:instrText>
          </w:r>
          <w:r>
            <w:fldChar w:fldCharType="separate"/>
          </w:r>
          <w:r>
            <w:t>6</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"_Toc165277233" </w:instrText>
          </w:r>
          <w:r>
            <w:fldChar w:fldCharType="separate"/>
          </w:r>
          <w:r>
            <w:rPr>
              <w:rStyle w:val="21"/>
            </w:rPr>
            <w:t>2.</w:t>
          </w:r>
          <w:r>
            <w:rPr>
              <w:rStyle w:val="21"/>
              <w:rFonts w:hint="eastAsia"/>
            </w:rPr>
            <w:t>评价指标体系</w:t>
          </w:r>
          <w:r>
            <w:tab/>
          </w:r>
          <w:r>
            <w:fldChar w:fldCharType="begin"/>
          </w:r>
          <w:r>
            <w:instrText xml:space="preserve"> PAGEREF _Toc165277233 \h </w:instrText>
          </w:r>
          <w:r>
            <w:fldChar w:fldCharType="separate"/>
          </w:r>
          <w:r>
            <w:t>6</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"_Toc165277234" </w:instrText>
          </w:r>
          <w:r>
            <w:fldChar w:fldCharType="separate"/>
          </w:r>
          <w:r>
            <w:rPr>
              <w:rStyle w:val="21"/>
            </w:rPr>
            <w:t>3.</w:t>
          </w:r>
          <w:r>
            <w:rPr>
              <w:rStyle w:val="21"/>
              <w:rFonts w:hint="eastAsia"/>
            </w:rPr>
            <w:t>评价方法</w:t>
          </w:r>
          <w:r>
            <w:tab/>
          </w:r>
          <w:r>
            <w:fldChar w:fldCharType="begin"/>
          </w:r>
          <w:r>
            <w:instrText xml:space="preserve"> PAGEREF _Toc165277234 \h </w:instrText>
          </w:r>
          <w:r>
            <w:fldChar w:fldCharType="separate"/>
          </w:r>
          <w:r>
            <w:t>11</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"_Toc165277235" </w:instrText>
          </w:r>
          <w:r>
            <w:fldChar w:fldCharType="separate"/>
          </w:r>
          <w:r>
            <w:rPr>
              <w:rStyle w:val="21"/>
            </w:rPr>
            <w:t>4.</w:t>
          </w:r>
          <w:r>
            <w:rPr>
              <w:rStyle w:val="21"/>
              <w:rFonts w:hint="eastAsia"/>
            </w:rPr>
            <w:t>评价标准</w:t>
          </w:r>
          <w:r>
            <w:tab/>
          </w:r>
          <w:r>
            <w:fldChar w:fldCharType="begin"/>
          </w:r>
          <w:r>
            <w:instrText xml:space="preserve"> PAGEREF _Toc165277235 \h </w:instrText>
          </w:r>
          <w:r>
            <w:fldChar w:fldCharType="separate"/>
          </w:r>
          <w:r>
            <w:t>12</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"_Toc165277236" </w:instrText>
          </w:r>
          <w:r>
            <w:fldChar w:fldCharType="separate"/>
          </w:r>
          <w:r>
            <w:rPr>
              <w:rStyle w:val="21"/>
              <w:rFonts w:hint="eastAsia" w:ascii="仿宋" w:hAnsi="仿宋" w:eastAsia="仿宋"/>
              <w:lang w:bidi="en-US"/>
            </w:rPr>
            <w:t>（三）绩效评价工作过程</w:t>
          </w:r>
          <w:r>
            <w:tab/>
          </w:r>
          <w:r>
            <w:fldChar w:fldCharType="begin"/>
          </w:r>
          <w:r>
            <w:instrText xml:space="preserve"> PAGEREF _Toc165277236 \h </w:instrText>
          </w:r>
          <w:r>
            <w:fldChar w:fldCharType="separate"/>
          </w:r>
          <w:r>
            <w:t>13</w:t>
          </w:r>
          <w:r>
            <w:fldChar w:fldCharType="end"/>
          </w:r>
          <w:r>
            <w:fldChar w:fldCharType="end"/>
          </w:r>
        </w:p>
        <w:p>
          <w:pPr>
            <w:pStyle w:val="14"/>
            <w:tabs>
              <w:tab w:val="right" w:leader="dot" w:pos="8296"/>
            </w:tabs>
            <w:ind w:firstLine="560"/>
            <w:rPr>
              <w:rFonts w:asciiTheme="minorHAnsi" w:hAnsiTheme="minorHAnsi" w:eastAsiaTheme="minorEastAsia" w:cstheme="minorBidi"/>
              <w:sz w:val="21"/>
            </w:rPr>
          </w:pPr>
          <w:r>
            <w:fldChar w:fldCharType="begin"/>
          </w:r>
          <w:r>
            <w:instrText xml:space="preserve"> HYPERLINK \l "_Toc165277237" </w:instrText>
          </w:r>
          <w:r>
            <w:fldChar w:fldCharType="separate"/>
          </w:r>
          <w:r>
            <w:rPr>
              <w:rStyle w:val="21"/>
              <w:rFonts w:hint="eastAsia" w:ascii="仿宋" w:hAnsi="仿宋" w:eastAsia="仿宋"/>
              <w:lang w:bidi="en-US"/>
            </w:rPr>
            <w:t>三、综合评价情况及评价结论</w:t>
          </w:r>
          <w:r>
            <w:tab/>
          </w:r>
          <w:r>
            <w:fldChar w:fldCharType="begin"/>
          </w:r>
          <w:r>
            <w:instrText xml:space="preserve"> PAGEREF _Toc165277237 \h </w:instrText>
          </w:r>
          <w:r>
            <w:fldChar w:fldCharType="separate"/>
          </w:r>
          <w:r>
            <w:t>14</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"_Toc165277238" </w:instrText>
          </w:r>
          <w:r>
            <w:fldChar w:fldCharType="separate"/>
          </w:r>
          <w:r>
            <w:rPr>
              <w:rStyle w:val="21"/>
              <w:rFonts w:hint="eastAsia" w:ascii="仿宋" w:hAnsi="仿宋" w:eastAsia="仿宋"/>
              <w:lang w:bidi="en-US"/>
            </w:rPr>
            <w:t>（一）评价结论</w:t>
          </w:r>
          <w:r>
            <w:tab/>
          </w:r>
          <w:r>
            <w:fldChar w:fldCharType="begin"/>
          </w:r>
          <w:r>
            <w:instrText xml:space="preserve"> PAGEREF _Toc165277238 \h </w:instrText>
          </w:r>
          <w:r>
            <w:fldChar w:fldCharType="separate"/>
          </w:r>
          <w:r>
            <w:t>14</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"_Toc165277239" </w:instrText>
          </w:r>
          <w:r>
            <w:fldChar w:fldCharType="separate"/>
          </w:r>
          <w:r>
            <w:rPr>
              <w:rStyle w:val="21"/>
              <w:rFonts w:hint="eastAsia" w:ascii="仿宋" w:hAnsi="仿宋" w:eastAsia="仿宋"/>
              <w:lang w:bidi="en-US"/>
            </w:rPr>
            <w:t>（二）主要绩效</w:t>
          </w:r>
          <w:r>
            <w:tab/>
          </w:r>
          <w:r>
            <w:fldChar w:fldCharType="begin"/>
          </w:r>
          <w:r>
            <w:instrText xml:space="preserve"> PAGEREF _Toc165277239 \h </w:instrText>
          </w:r>
          <w:r>
            <w:fldChar w:fldCharType="separate"/>
          </w:r>
          <w:r>
            <w:t>15</w:t>
          </w:r>
          <w:r>
            <w:fldChar w:fldCharType="end"/>
          </w:r>
          <w:r>
            <w:fldChar w:fldCharType="end"/>
          </w:r>
        </w:p>
        <w:p>
          <w:pPr>
            <w:pStyle w:val="14"/>
            <w:tabs>
              <w:tab w:val="right" w:leader="dot" w:pos="8296"/>
            </w:tabs>
            <w:ind w:firstLine="560"/>
            <w:rPr>
              <w:rFonts w:asciiTheme="minorHAnsi" w:hAnsiTheme="minorHAnsi" w:eastAsiaTheme="minorEastAsia" w:cstheme="minorBidi"/>
              <w:sz w:val="21"/>
            </w:rPr>
          </w:pPr>
          <w:r>
            <w:fldChar w:fldCharType="begin"/>
          </w:r>
          <w:r>
            <w:instrText xml:space="preserve"> HYPERLINK \l "_Toc165277240" </w:instrText>
          </w:r>
          <w:r>
            <w:fldChar w:fldCharType="separate"/>
          </w:r>
          <w:r>
            <w:rPr>
              <w:rStyle w:val="21"/>
              <w:rFonts w:hint="eastAsia" w:ascii="仿宋" w:hAnsi="仿宋" w:eastAsia="仿宋"/>
              <w:lang w:bidi="en-US"/>
            </w:rPr>
            <w:t>四、绩效评价指标分析</w:t>
          </w:r>
          <w:r>
            <w:tab/>
          </w:r>
          <w:r>
            <w:fldChar w:fldCharType="begin"/>
          </w:r>
          <w:r>
            <w:instrText xml:space="preserve"> PAGEREF _Toc165277240 \h </w:instrText>
          </w:r>
          <w:r>
            <w:fldChar w:fldCharType="separate"/>
          </w:r>
          <w:r>
            <w:t>15</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"_Toc165277241" </w:instrText>
          </w:r>
          <w:r>
            <w:fldChar w:fldCharType="separate"/>
          </w:r>
          <w:r>
            <w:rPr>
              <w:rStyle w:val="21"/>
              <w:rFonts w:hint="eastAsia" w:ascii="仿宋" w:hAnsi="仿宋" w:eastAsia="仿宋"/>
              <w:lang w:bidi="en-US"/>
            </w:rPr>
            <w:t>（一）项目决策情况</w:t>
          </w:r>
          <w:r>
            <w:tab/>
          </w:r>
          <w:r>
            <w:fldChar w:fldCharType="begin"/>
          </w:r>
          <w:r>
            <w:instrText xml:space="preserve"> PAGEREF _Toc165277241 \h </w:instrText>
          </w:r>
          <w:r>
            <w:fldChar w:fldCharType="separate"/>
          </w:r>
          <w:r>
            <w:t>15</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"_Toc165277242" </w:instrText>
          </w:r>
          <w:r>
            <w:fldChar w:fldCharType="separate"/>
          </w:r>
          <w:r>
            <w:rPr>
              <w:rStyle w:val="21"/>
            </w:rPr>
            <w:t>1.</w:t>
          </w:r>
          <w:r>
            <w:rPr>
              <w:rStyle w:val="21"/>
              <w:rFonts w:hint="eastAsia"/>
            </w:rPr>
            <w:t>项目立项</w:t>
          </w:r>
          <w:r>
            <w:tab/>
          </w:r>
          <w:r>
            <w:fldChar w:fldCharType="begin"/>
          </w:r>
          <w:r>
            <w:instrText xml:space="preserve"> PAGEREF _Toc165277242 \h </w:instrText>
          </w:r>
          <w:r>
            <w:fldChar w:fldCharType="separate"/>
          </w:r>
          <w:r>
            <w:t>15</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"_Toc165277243" </w:instrText>
          </w:r>
          <w:r>
            <w:fldChar w:fldCharType="separate"/>
          </w:r>
          <w:r>
            <w:rPr>
              <w:rStyle w:val="21"/>
            </w:rPr>
            <w:t>2.</w:t>
          </w:r>
          <w:r>
            <w:rPr>
              <w:rStyle w:val="21"/>
              <w:rFonts w:hint="eastAsia"/>
            </w:rPr>
            <w:t>绩效目标</w:t>
          </w:r>
          <w:r>
            <w:tab/>
          </w:r>
          <w:r>
            <w:fldChar w:fldCharType="begin"/>
          </w:r>
          <w:r>
            <w:instrText xml:space="preserve"> PAGEREF _Toc165277243 \h </w:instrText>
          </w:r>
          <w:r>
            <w:fldChar w:fldCharType="separate"/>
          </w:r>
          <w:r>
            <w:t>16</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"_Toc165277244" </w:instrText>
          </w:r>
          <w:r>
            <w:fldChar w:fldCharType="separate"/>
          </w:r>
          <w:r>
            <w:rPr>
              <w:rStyle w:val="21"/>
            </w:rPr>
            <w:t>3.</w:t>
          </w:r>
          <w:r>
            <w:rPr>
              <w:rStyle w:val="21"/>
              <w:rFonts w:hint="eastAsia"/>
            </w:rPr>
            <w:t>资金投入</w:t>
          </w:r>
          <w:r>
            <w:tab/>
          </w:r>
          <w:r>
            <w:fldChar w:fldCharType="begin"/>
          </w:r>
          <w:r>
            <w:instrText xml:space="preserve"> PAGEREF _Toc165277244 \h </w:instrText>
          </w:r>
          <w:r>
            <w:fldChar w:fldCharType="separate"/>
          </w:r>
          <w:r>
            <w:t>16</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"_Toc165277245" </w:instrText>
          </w:r>
          <w:r>
            <w:fldChar w:fldCharType="separate"/>
          </w:r>
          <w:r>
            <w:rPr>
              <w:rStyle w:val="21"/>
              <w:rFonts w:hint="eastAsia" w:ascii="仿宋" w:hAnsi="仿宋" w:eastAsia="仿宋"/>
              <w:lang w:bidi="en-US"/>
            </w:rPr>
            <w:t>（二）项目过程情况</w:t>
          </w:r>
          <w:r>
            <w:tab/>
          </w:r>
          <w:r>
            <w:fldChar w:fldCharType="begin"/>
          </w:r>
          <w:r>
            <w:instrText xml:space="preserve"> PAGEREF _Toc165277245 \h </w:instrText>
          </w:r>
          <w:r>
            <w:fldChar w:fldCharType="separate"/>
          </w:r>
          <w:r>
            <w:t>17</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"_Toc165277246" </w:instrText>
          </w:r>
          <w:r>
            <w:fldChar w:fldCharType="separate"/>
          </w:r>
          <w:r>
            <w:rPr>
              <w:rStyle w:val="21"/>
            </w:rPr>
            <w:t>1.</w:t>
          </w:r>
          <w:r>
            <w:rPr>
              <w:rStyle w:val="21"/>
              <w:rFonts w:hint="eastAsia"/>
            </w:rPr>
            <w:t>资金管理</w:t>
          </w:r>
          <w:r>
            <w:tab/>
          </w:r>
          <w:r>
            <w:fldChar w:fldCharType="begin"/>
          </w:r>
          <w:r>
            <w:instrText xml:space="preserve"> PAGEREF _Toc165277246 \h </w:instrText>
          </w:r>
          <w:r>
            <w:fldChar w:fldCharType="separate"/>
          </w:r>
          <w:r>
            <w:t>17</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"_Toc165277247" </w:instrText>
          </w:r>
          <w:r>
            <w:fldChar w:fldCharType="separate"/>
          </w:r>
          <w:r>
            <w:rPr>
              <w:rStyle w:val="21"/>
            </w:rPr>
            <w:t>2.</w:t>
          </w:r>
          <w:r>
            <w:rPr>
              <w:rStyle w:val="21"/>
              <w:rFonts w:hint="eastAsia"/>
            </w:rPr>
            <w:t>组织实施</w:t>
          </w:r>
          <w:r>
            <w:tab/>
          </w:r>
          <w:r>
            <w:fldChar w:fldCharType="begin"/>
          </w:r>
          <w:r>
            <w:instrText xml:space="preserve"> PAGEREF _Toc165277247 \h </w:instrText>
          </w:r>
          <w:r>
            <w:fldChar w:fldCharType="separate"/>
          </w:r>
          <w:r>
            <w:t>18</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"_Toc165277248" </w:instrText>
          </w:r>
          <w:r>
            <w:fldChar w:fldCharType="separate"/>
          </w:r>
          <w:r>
            <w:rPr>
              <w:rStyle w:val="21"/>
              <w:rFonts w:hint="eastAsia" w:ascii="仿宋" w:hAnsi="仿宋" w:eastAsia="仿宋"/>
              <w:lang w:bidi="en-US"/>
            </w:rPr>
            <w:t>（三）项目产出情况</w:t>
          </w:r>
          <w:r>
            <w:tab/>
          </w:r>
          <w:r>
            <w:fldChar w:fldCharType="begin"/>
          </w:r>
          <w:r>
            <w:instrText xml:space="preserve"> PAGEREF _Toc165277248 \h </w:instrText>
          </w:r>
          <w:r>
            <w:fldChar w:fldCharType="separate"/>
          </w:r>
          <w:r>
            <w:t>19</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"_Toc165277249" </w:instrText>
          </w:r>
          <w:r>
            <w:fldChar w:fldCharType="separate"/>
          </w:r>
          <w:r>
            <w:rPr>
              <w:rStyle w:val="21"/>
            </w:rPr>
            <w:t>1.</w:t>
          </w:r>
          <w:r>
            <w:rPr>
              <w:rStyle w:val="21"/>
              <w:rFonts w:hint="eastAsia"/>
            </w:rPr>
            <w:t>产出数量</w:t>
          </w:r>
          <w:r>
            <w:tab/>
          </w:r>
          <w:r>
            <w:fldChar w:fldCharType="begin"/>
          </w:r>
          <w:r>
            <w:instrText xml:space="preserve"> PAGEREF _Toc165277249 \h </w:instrText>
          </w:r>
          <w:r>
            <w:fldChar w:fldCharType="separate"/>
          </w:r>
          <w:r>
            <w:t>19</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"_Toc165277250" </w:instrText>
          </w:r>
          <w:r>
            <w:fldChar w:fldCharType="separate"/>
          </w:r>
          <w:r>
            <w:rPr>
              <w:rStyle w:val="21"/>
            </w:rPr>
            <w:t>2.</w:t>
          </w:r>
          <w:r>
            <w:rPr>
              <w:rStyle w:val="21"/>
              <w:rFonts w:hint="eastAsia"/>
            </w:rPr>
            <w:t>产出质量</w:t>
          </w:r>
          <w:r>
            <w:tab/>
          </w:r>
          <w:r>
            <w:fldChar w:fldCharType="begin"/>
          </w:r>
          <w:r>
            <w:instrText xml:space="preserve"> PAGEREF _Toc165277250 \h </w:instrText>
          </w:r>
          <w:r>
            <w:fldChar w:fldCharType="separate"/>
          </w:r>
          <w:r>
            <w:t>19</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"_Toc165277251" </w:instrText>
          </w:r>
          <w:r>
            <w:fldChar w:fldCharType="separate"/>
          </w:r>
          <w:r>
            <w:rPr>
              <w:rStyle w:val="21"/>
            </w:rPr>
            <w:t>3.</w:t>
          </w:r>
          <w:r>
            <w:rPr>
              <w:rStyle w:val="21"/>
              <w:rFonts w:hint="eastAsia"/>
            </w:rPr>
            <w:t>产出时效</w:t>
          </w:r>
          <w:r>
            <w:tab/>
          </w:r>
          <w:r>
            <w:fldChar w:fldCharType="begin"/>
          </w:r>
          <w:r>
            <w:instrText xml:space="preserve"> PAGEREF _Toc165277251 \h </w:instrText>
          </w:r>
          <w:r>
            <w:fldChar w:fldCharType="separate"/>
          </w:r>
          <w:r>
            <w:t>19</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"_Toc165277252" </w:instrText>
          </w:r>
          <w:r>
            <w:fldChar w:fldCharType="separate"/>
          </w:r>
          <w:r>
            <w:rPr>
              <w:rStyle w:val="21"/>
            </w:rPr>
            <w:t>4.</w:t>
          </w:r>
          <w:r>
            <w:rPr>
              <w:rStyle w:val="21"/>
              <w:rFonts w:hint="eastAsia"/>
            </w:rPr>
            <w:t>产出成本</w:t>
          </w:r>
          <w:r>
            <w:tab/>
          </w:r>
          <w:r>
            <w:fldChar w:fldCharType="begin"/>
          </w:r>
          <w:r>
            <w:instrText xml:space="preserve"> PAGEREF _Toc165277252 \h </w:instrText>
          </w:r>
          <w:r>
            <w:fldChar w:fldCharType="separate"/>
          </w:r>
          <w:r>
            <w:t>20</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"_Toc165277253" </w:instrText>
          </w:r>
          <w:r>
            <w:fldChar w:fldCharType="separate"/>
          </w:r>
          <w:r>
            <w:rPr>
              <w:rStyle w:val="21"/>
              <w:rFonts w:hint="eastAsia" w:ascii="仿宋" w:hAnsi="仿宋" w:eastAsia="仿宋"/>
              <w:lang w:bidi="en-US"/>
            </w:rPr>
            <w:t>（四）项目效益情况</w:t>
          </w:r>
          <w:r>
            <w:tab/>
          </w:r>
          <w:r>
            <w:fldChar w:fldCharType="begin"/>
          </w:r>
          <w:r>
            <w:instrText xml:space="preserve"> PAGEREF _Toc165277253 \h </w:instrText>
          </w:r>
          <w:r>
            <w:fldChar w:fldCharType="separate"/>
          </w:r>
          <w:r>
            <w:t>20</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"_Toc165277254" </w:instrText>
          </w:r>
          <w:r>
            <w:fldChar w:fldCharType="separate"/>
          </w:r>
          <w:r>
            <w:rPr>
              <w:rStyle w:val="21"/>
            </w:rPr>
            <w:t>1.</w:t>
          </w:r>
          <w:r>
            <w:rPr>
              <w:rStyle w:val="21"/>
              <w:rFonts w:hint="eastAsia"/>
            </w:rPr>
            <w:t>项目效益</w:t>
          </w:r>
          <w:r>
            <w:tab/>
          </w:r>
          <w:r>
            <w:fldChar w:fldCharType="begin"/>
          </w:r>
          <w:r>
            <w:instrText xml:space="preserve"> PAGEREF _Toc165277254 \h </w:instrText>
          </w:r>
          <w:r>
            <w:fldChar w:fldCharType="separate"/>
          </w:r>
          <w:r>
            <w:t>20</w:t>
          </w:r>
          <w:r>
            <w:fldChar w:fldCharType="end"/>
          </w:r>
          <w:r>
            <w:fldChar w:fldCharType="end"/>
          </w:r>
        </w:p>
        <w:p>
          <w:pPr>
            <w:pStyle w:val="9"/>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"_Toc165277255" </w:instrText>
          </w:r>
          <w:r>
            <w:fldChar w:fldCharType="separate"/>
          </w:r>
          <w:r>
            <w:rPr>
              <w:rStyle w:val="21"/>
            </w:rPr>
            <w:t xml:space="preserve">2. </w:t>
          </w:r>
          <w:r>
            <w:rPr>
              <w:rStyle w:val="21"/>
              <w:rFonts w:hint="eastAsia"/>
            </w:rPr>
            <w:t>满意度指标完成情况分析</w:t>
          </w:r>
          <w:r>
            <w:tab/>
          </w:r>
          <w:r>
            <w:fldChar w:fldCharType="begin"/>
          </w:r>
          <w:r>
            <w:instrText xml:space="preserve"> PAGEREF _Toc165277255 \h </w:instrText>
          </w:r>
          <w:r>
            <w:fldChar w:fldCharType="separate"/>
          </w:r>
          <w:r>
            <w:t>21</w:t>
          </w:r>
          <w:r>
            <w:fldChar w:fldCharType="end"/>
          </w:r>
          <w:r>
            <w:fldChar w:fldCharType="end"/>
          </w:r>
        </w:p>
        <w:p>
          <w:pPr>
            <w:pStyle w:val="14"/>
            <w:tabs>
              <w:tab w:val="right" w:leader="dot" w:pos="8296"/>
            </w:tabs>
            <w:ind w:firstLine="560"/>
            <w:rPr>
              <w:rFonts w:asciiTheme="minorHAnsi" w:hAnsiTheme="minorHAnsi" w:eastAsiaTheme="minorEastAsia" w:cstheme="minorBidi"/>
              <w:sz w:val="21"/>
            </w:rPr>
          </w:pPr>
          <w:r>
            <w:fldChar w:fldCharType="begin"/>
          </w:r>
          <w:r>
            <w:instrText xml:space="preserve"> HYPERLINK \l "_Toc165277256" </w:instrText>
          </w:r>
          <w:r>
            <w:fldChar w:fldCharType="separate"/>
          </w:r>
          <w:r>
            <w:rPr>
              <w:rStyle w:val="21"/>
              <w:rFonts w:hint="eastAsia" w:ascii="仿宋" w:hAnsi="仿宋" w:eastAsia="仿宋"/>
              <w:lang w:bidi="en-US"/>
            </w:rPr>
            <w:t>五、主要经验及做法、存在的问题及原因分析</w:t>
          </w:r>
          <w:r>
            <w:tab/>
          </w:r>
          <w:r>
            <w:fldChar w:fldCharType="begin"/>
          </w:r>
          <w:r>
            <w:instrText xml:space="preserve"> PAGEREF _Toc165277256 \h </w:instrText>
          </w:r>
          <w:r>
            <w:fldChar w:fldCharType="separate"/>
          </w:r>
          <w:r>
            <w:t>21</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"_Toc165277257" </w:instrText>
          </w:r>
          <w:r>
            <w:fldChar w:fldCharType="separate"/>
          </w:r>
          <w:r>
            <w:rPr>
              <w:rStyle w:val="21"/>
              <w:rFonts w:hint="eastAsia" w:ascii="仿宋" w:hAnsi="仿宋" w:eastAsia="仿宋"/>
              <w:lang w:bidi="en-US"/>
            </w:rPr>
            <w:t>（一）主要经验及做法</w:t>
          </w:r>
          <w:r>
            <w:tab/>
          </w:r>
          <w:r>
            <w:fldChar w:fldCharType="begin"/>
          </w:r>
          <w:r>
            <w:instrText xml:space="preserve"> PAGEREF _Toc165277257 \h </w:instrText>
          </w:r>
          <w:r>
            <w:fldChar w:fldCharType="separate"/>
          </w:r>
          <w:r>
            <w:t>21</w:t>
          </w:r>
          <w:r>
            <w:fldChar w:fldCharType="end"/>
          </w:r>
          <w:r>
            <w:fldChar w:fldCharType="end"/>
          </w:r>
        </w:p>
        <w:p>
          <w:pPr>
            <w:pStyle w:val="16"/>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"_Toc165277258" </w:instrText>
          </w:r>
          <w:r>
            <w:fldChar w:fldCharType="separate"/>
          </w:r>
          <w:r>
            <w:rPr>
              <w:rStyle w:val="21"/>
              <w:rFonts w:hint="eastAsia" w:ascii="仿宋" w:hAnsi="仿宋" w:eastAsia="仿宋"/>
              <w:lang w:bidi="en-US"/>
            </w:rPr>
            <w:t>（二）存在的问题及原因分析</w:t>
          </w:r>
          <w:r>
            <w:tab/>
          </w:r>
          <w:r>
            <w:fldChar w:fldCharType="begin"/>
          </w:r>
          <w:r>
            <w:instrText xml:space="preserve"> PAGEREF _Toc165277258 \h </w:instrText>
          </w:r>
          <w:r>
            <w:fldChar w:fldCharType="separate"/>
          </w:r>
          <w:r>
            <w:t>22</w:t>
          </w:r>
          <w:r>
            <w:fldChar w:fldCharType="end"/>
          </w:r>
          <w:r>
            <w:fldChar w:fldCharType="end"/>
          </w:r>
        </w:p>
        <w:p>
          <w:pPr>
            <w:pStyle w:val="14"/>
            <w:tabs>
              <w:tab w:val="right" w:leader="dot" w:pos="8296"/>
            </w:tabs>
            <w:ind w:firstLine="560"/>
            <w:rPr>
              <w:rFonts w:asciiTheme="minorHAnsi" w:hAnsiTheme="minorHAnsi" w:eastAsiaTheme="minorEastAsia" w:cstheme="minorBidi"/>
              <w:sz w:val="21"/>
            </w:rPr>
          </w:pPr>
          <w:r>
            <w:fldChar w:fldCharType="begin"/>
          </w:r>
          <w:r>
            <w:instrText xml:space="preserve"> HYPERLINK \l "_Toc165277259" </w:instrText>
          </w:r>
          <w:r>
            <w:fldChar w:fldCharType="separate"/>
          </w:r>
          <w:r>
            <w:rPr>
              <w:rStyle w:val="21"/>
              <w:rFonts w:hint="eastAsia" w:ascii="仿宋" w:hAnsi="仿宋" w:eastAsia="仿宋"/>
              <w:lang w:bidi="en-US"/>
            </w:rPr>
            <w:t>六、有关建议</w:t>
          </w:r>
          <w:r>
            <w:tab/>
          </w:r>
          <w:r>
            <w:fldChar w:fldCharType="begin"/>
          </w:r>
          <w:r>
            <w:instrText xml:space="preserve"> PAGEREF _Toc165277259 \h </w:instrText>
          </w:r>
          <w:r>
            <w:fldChar w:fldCharType="separate"/>
          </w:r>
          <w:r>
            <w:t>23</w:t>
          </w:r>
          <w:r>
            <w:fldChar w:fldCharType="end"/>
          </w:r>
          <w:r>
            <w:fldChar w:fldCharType="end"/>
          </w:r>
        </w:p>
        <w:p>
          <w:pPr>
            <w:pStyle w:val="14"/>
            <w:tabs>
              <w:tab w:val="right" w:leader="dot" w:pos="8296"/>
            </w:tabs>
            <w:ind w:firstLine="560"/>
            <w:rPr>
              <w:rFonts w:asciiTheme="minorHAnsi" w:hAnsiTheme="minorHAnsi" w:eastAsiaTheme="minorEastAsia" w:cstheme="minorBidi"/>
              <w:sz w:val="21"/>
            </w:rPr>
          </w:pPr>
          <w:r>
            <w:fldChar w:fldCharType="begin"/>
          </w:r>
          <w:r>
            <w:instrText xml:space="preserve"> HYPERLINK \l "_Toc165277260" </w:instrText>
          </w:r>
          <w:r>
            <w:fldChar w:fldCharType="separate"/>
          </w:r>
          <w:r>
            <w:rPr>
              <w:rStyle w:val="21"/>
              <w:rFonts w:hint="eastAsia" w:ascii="仿宋" w:hAnsi="仿宋" w:eastAsia="仿宋"/>
              <w:lang w:bidi="en-US"/>
            </w:rPr>
            <w:t>七、其他需要说明的问题</w:t>
          </w:r>
          <w:r>
            <w:tab/>
          </w:r>
          <w:r>
            <w:fldChar w:fldCharType="begin"/>
          </w:r>
          <w:r>
            <w:instrText xml:space="preserve"> PAGEREF _Toc165277260 \h </w:instrText>
          </w:r>
          <w:r>
            <w:fldChar w:fldCharType="separate"/>
          </w:r>
          <w:r>
            <w:t>23</w:t>
          </w:r>
          <w:r>
            <w:fldChar w:fldCharType="end"/>
          </w:r>
          <w:r>
            <w:fldChar w:fldCharType="end"/>
          </w:r>
        </w:p>
        <w:p>
          <w:pPr>
            <w:ind w:firstLine="562"/>
          </w:pPr>
          <w:r>
            <w:rPr>
              <w:b/>
              <w:bCs/>
              <w:lang w:val="zh-CN"/>
            </w:rPr>
            <w:fldChar w:fldCharType="end"/>
          </w:r>
        </w:p>
      </w:sdtContent>
    </w:sdt>
    <w:p>
      <w:pPr>
        <w:ind w:firstLine="598" w:firstLineChars="187"/>
        <w:rPr>
          <w:rFonts w:ascii="仿宋_GB2312" w:hAnsi="Times New Roman" w:cs="Times New Roman"/>
          <w:sz w:val="32"/>
          <w:szCs w:val="32"/>
          <w:lang w:bidi="en-U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850" w:header="851" w:footer="992" w:gutter="0"/>
          <w:cols w:space="425" w:num="1"/>
          <w:docGrid w:type="lines" w:linePitch="312" w:charSpace="0"/>
        </w:sectPr>
      </w:pPr>
    </w:p>
    <w:p>
      <w:pPr>
        <w:pStyle w:val="2"/>
        <w:ind w:firstLine="0" w:firstLineChars="0"/>
        <w:jc w:val="left"/>
        <w:rPr>
          <w:rFonts w:ascii="仿宋" w:hAnsi="仿宋" w:eastAsia="仿宋"/>
          <w:sz w:val="36"/>
          <w:szCs w:val="36"/>
          <w:lang w:bidi="en-US"/>
        </w:rPr>
      </w:pPr>
      <w:bookmarkStart w:id="0" w:name="_Toc165277220"/>
      <w:bookmarkStart w:id="1" w:name="_Toc67911601"/>
      <w:r>
        <w:rPr>
          <w:rFonts w:hint="eastAsia" w:ascii="仿宋" w:hAnsi="仿宋" w:eastAsia="仿宋"/>
          <w:sz w:val="36"/>
          <w:szCs w:val="36"/>
          <w:lang w:bidi="en-US"/>
        </w:rPr>
        <w:t>一、基本情况</w:t>
      </w:r>
      <w:bookmarkEnd w:id="0"/>
      <w:bookmarkEnd w:id="1"/>
    </w:p>
    <w:p>
      <w:pPr>
        <w:pStyle w:val="3"/>
        <w:ind w:firstLine="643"/>
        <w:rPr>
          <w:rFonts w:hint="eastAsia" w:ascii="仿宋" w:hAnsi="仿宋" w:eastAsia="仿宋"/>
          <w:lang w:bidi="en-US"/>
        </w:rPr>
      </w:pPr>
      <w:bookmarkStart w:id="2" w:name="_Toc67911602"/>
      <w:bookmarkStart w:id="3" w:name="_Toc165277221"/>
      <w:r>
        <w:rPr>
          <w:rFonts w:hint="eastAsia" w:ascii="仿宋" w:hAnsi="仿宋" w:eastAsia="仿宋"/>
          <w:lang w:bidi="en-US"/>
        </w:rPr>
        <w:t>（一）项目概况：</w:t>
      </w:r>
      <w:bookmarkEnd w:id="2"/>
      <w:bookmarkEnd w:id="3"/>
    </w:p>
    <w:p>
      <w:pPr>
        <w:pStyle w:val="3"/>
        <w:ind w:firstLine="643"/>
        <w:rPr>
          <w:rFonts w:hint="default" w:ascii="仿宋" w:hAnsi="仿宋" w:eastAsia="仿宋"/>
          <w:lang w:val="en-US" w:eastAsia="zh-CN" w:bidi="en-US"/>
        </w:rPr>
      </w:pPr>
      <w:r>
        <w:rPr>
          <w:rFonts w:hint="eastAsia" w:ascii="仿宋" w:hAnsi="仿宋" w:eastAsia="仿宋"/>
          <w:lang w:eastAsia="zh-CN" w:bidi="en-US"/>
        </w:rPr>
        <w:t>“戏曲进乡村”活动是</w:t>
      </w:r>
      <w:r>
        <w:rPr>
          <w:rFonts w:hint="eastAsia" w:ascii="仿宋" w:hAnsi="仿宋" w:eastAsia="仿宋"/>
          <w:lang w:val="en-US" w:eastAsia="zh-CN" w:bidi="en-US"/>
        </w:rPr>
        <w:t>2023年新疆维吾尔自治区人民政府颁布的实施的民生实事之一，以优秀传统文化艺术精品供给增强各族群众的文化获得感。</w:t>
      </w:r>
    </w:p>
    <w:p>
      <w:pPr>
        <w:pStyle w:val="4"/>
        <w:ind w:firstLine="643"/>
      </w:pPr>
      <w:bookmarkStart w:id="4" w:name="_Toc165277222"/>
      <w:r>
        <w:rPr>
          <w:rFonts w:hint="eastAsia"/>
        </w:rPr>
        <w:t>1．项目背景、主要内容及实施情况</w:t>
      </w:r>
      <w:bookmarkEnd w:id="4"/>
    </w:p>
    <w:p>
      <w:pPr>
        <w:spacing w:line="360" w:lineRule="auto"/>
        <w:ind w:firstLine="560"/>
        <w:rPr>
          <w:rFonts w:ascii="仿宋_GB2312"/>
        </w:rPr>
      </w:pPr>
      <w:r>
        <w:rPr>
          <w:rFonts w:hint="eastAsia" w:ascii="仿宋_GB2312"/>
        </w:rPr>
        <w:t>该项目实施背景：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jc w:val="both"/>
        <w:textAlignment w:val="auto"/>
        <w:rPr>
          <w:rFonts w:hint="eastAsia" w:ascii="仿宋" w:hAnsi="仿宋" w:eastAsia="仿宋" w:cs="仿宋"/>
          <w:sz w:val="32"/>
          <w:szCs w:val="32"/>
          <w:lang w:val="en-US" w:eastAsia="zh-CN"/>
        </w:rPr>
      </w:pPr>
      <w:r>
        <w:rPr>
          <w:rFonts w:ascii="仿宋_GB2312"/>
        </w:rPr>
        <w:t>项目</w:t>
      </w:r>
      <w:r>
        <w:rPr>
          <w:rFonts w:hint="eastAsia" w:ascii="仿宋_GB2312"/>
        </w:rPr>
        <w:t>2</w:t>
      </w:r>
      <w:r>
        <w:rPr>
          <w:rFonts w:ascii="仿宋_GB2312"/>
        </w:rPr>
        <w:t>023年的主要实施内容</w:t>
      </w:r>
      <w:r>
        <w:rPr>
          <w:rFonts w:hint="eastAsia" w:ascii="仿宋_GB2312"/>
          <w:lang w:eastAsia="zh-CN"/>
        </w:rPr>
        <w:t>：根据自治区文化和旅游厅印发的《关于开展</w:t>
      </w:r>
      <w:r>
        <w:rPr>
          <w:rFonts w:hint="eastAsia" w:ascii="仿宋_GB2312"/>
          <w:lang w:val="en-US" w:eastAsia="zh-CN"/>
        </w:rPr>
        <w:t>2023年戏曲乡村工作的方案</w:t>
      </w:r>
      <w:r>
        <w:rPr>
          <w:rFonts w:hint="eastAsia" w:ascii="仿宋_GB2312"/>
          <w:lang w:eastAsia="zh-CN"/>
        </w:rPr>
        <w:t>》要求，乌鲁木齐市秦剧团（新疆秦剧团）领导高度重视，成立</w:t>
      </w:r>
      <w:r>
        <w:rPr>
          <w:rFonts w:hint="eastAsia" w:ascii="仿宋" w:hAnsi="仿宋" w:eastAsia="仿宋" w:cs="仿宋"/>
          <w:sz w:val="32"/>
          <w:szCs w:val="32"/>
          <w:lang w:val="en-US" w:eastAsia="zh-CN"/>
        </w:rPr>
        <w:t>赴喀什、克孜勒苏柯尔克孜地州演出工作领导小组，领导及演职员明确分工，确保此项演出工作顺利进行。</w:t>
      </w:r>
    </w:p>
    <w:p>
      <w:pPr>
        <w:spacing w:line="360" w:lineRule="auto"/>
        <w:ind w:firstLine="560"/>
        <w:rPr>
          <w:rFonts w:hint="eastAsia" w:ascii="仿宋_GB2312"/>
        </w:rPr>
      </w:pPr>
      <w:r>
        <w:rPr>
          <w:rFonts w:hint="eastAsia" w:ascii="仿宋_GB2312"/>
        </w:rPr>
        <w:t>2</w:t>
      </w:r>
      <w:r>
        <w:rPr>
          <w:rFonts w:ascii="仿宋_GB2312"/>
        </w:rPr>
        <w:t>023年当年完成情况。</w:t>
      </w:r>
      <w:r>
        <w:rPr>
          <w:rFonts w:hint="eastAsia" w:ascii="仿宋_GB2312"/>
          <w:lang w:val="en-US" w:eastAsia="zh-CN"/>
        </w:rPr>
        <w:t>1.</w:t>
      </w:r>
      <w:r>
        <w:rPr>
          <w:rFonts w:hint="eastAsia" w:ascii="仿宋_GB2312"/>
        </w:rPr>
        <w:t>202</w:t>
      </w:r>
      <w:r>
        <w:rPr>
          <w:rFonts w:hint="eastAsia" w:ascii="仿宋_GB2312"/>
          <w:lang w:val="en-US" w:eastAsia="zh-CN"/>
        </w:rPr>
        <w:t>3</w:t>
      </w:r>
      <w:r>
        <w:rPr>
          <w:rFonts w:hint="eastAsia" w:ascii="仿宋_GB2312"/>
        </w:rPr>
        <w:t>年</w:t>
      </w:r>
      <w:r>
        <w:rPr>
          <w:rFonts w:hint="eastAsia" w:ascii="仿宋_GB2312"/>
          <w:lang w:eastAsia="zh-CN"/>
        </w:rPr>
        <w:t>乌鲁木齐</w:t>
      </w:r>
      <w:r>
        <w:rPr>
          <w:rFonts w:hint="eastAsia" w:ascii="仿宋_GB2312"/>
        </w:rPr>
        <w:t>地区中央补助地方公共文化服务体系建设专项资金</w:t>
      </w:r>
      <w:r>
        <w:rPr>
          <w:rFonts w:hint="eastAsia" w:ascii="仿宋_GB2312"/>
          <w:lang w:eastAsia="zh-CN"/>
        </w:rPr>
        <w:t>总体目标为：</w:t>
      </w:r>
      <w:r>
        <w:rPr>
          <w:rFonts w:hint="eastAsia" w:ascii="仿宋_GB2312"/>
        </w:rPr>
        <w:t>引导支持地方提供基本公共文化服务项目，改善基层公共文化体育设施条件，加强基层公共文化服务人才队伍建设，支持加快构建现代公共文化服务体系，促进基本公共文化服务标准化、均等化，保护广大群众读书看报、观看电视、观赏电影、进行文化鉴赏、开展文化体育活动等基本文化权益。</w:t>
      </w:r>
    </w:p>
    <w:p>
      <w:pPr>
        <w:spacing w:line="360" w:lineRule="auto"/>
        <w:ind w:firstLine="560"/>
        <w:rPr>
          <w:rFonts w:ascii="仿宋_GB2312"/>
        </w:rPr>
      </w:pPr>
      <w:r>
        <w:rPr>
          <w:rFonts w:ascii="仿宋_GB2312"/>
        </w:rPr>
        <w:t>2</w:t>
      </w:r>
      <w:r>
        <w:rPr>
          <w:rFonts w:hint="eastAsia" w:ascii="仿宋_GB2312"/>
          <w:lang w:eastAsia="zh-CN"/>
        </w:rPr>
        <w:t>、</w:t>
      </w:r>
      <w:r>
        <w:rPr>
          <w:rFonts w:ascii="仿宋_GB2312"/>
        </w:rPr>
        <w:t>实际完成情况为：</w:t>
      </w:r>
      <w:r>
        <w:rPr>
          <w:rFonts w:hint="eastAsia" w:ascii="仿宋_GB2312"/>
        </w:rPr>
        <w:t>202</w:t>
      </w:r>
      <w:r>
        <w:rPr>
          <w:rFonts w:hint="eastAsia" w:ascii="仿宋_GB2312"/>
          <w:lang w:val="en-US" w:eastAsia="zh-CN"/>
        </w:rPr>
        <w:t>3</w:t>
      </w:r>
      <w:r>
        <w:rPr>
          <w:rFonts w:hint="eastAsia" w:ascii="仿宋_GB2312"/>
        </w:rPr>
        <w:t>年，根据绩效目标剧团组建两支演出分队于2023年7月10日至8月22日，分别赴喀什地区、柯尔克孜州两地区十六县市，11月7日至11月13日，剧团又组建演出分队分别赴昌吉州吉木萨尔县、木垒县看展戏曲进乡村演出活动，共计完成演出任务2</w:t>
      </w:r>
      <w:r>
        <w:rPr>
          <w:rFonts w:hint="eastAsia" w:ascii="仿宋_GB2312"/>
          <w:lang w:val="en-US" w:eastAsia="zh-CN"/>
        </w:rPr>
        <w:t>16</w:t>
      </w:r>
      <w:r>
        <w:rPr>
          <w:rFonts w:hint="eastAsia" w:ascii="仿宋_GB2312"/>
        </w:rPr>
        <w:t>场，演出覆盖49个乡镇、七个街道、两个医院及学校、边防连队和景区景点等地，观众覆盖36000余人次，自治区、乌鲁木齐市及地州媒体报道二十余次，行程10000万余公里。基本满足群众对文化生活的实际需求。</w:t>
      </w:r>
    </w:p>
    <w:p>
      <w:pPr>
        <w:pStyle w:val="4"/>
        <w:ind w:firstLine="643"/>
      </w:pPr>
      <w:bookmarkStart w:id="5" w:name="_Toc165277223"/>
      <w:r>
        <w:rPr>
          <w:rFonts w:hint="eastAsia"/>
        </w:rPr>
        <w:t>2</w:t>
      </w:r>
      <w:r>
        <w:t>.资金投入和使用情况</w:t>
      </w:r>
      <w:bookmarkEnd w:id="5"/>
    </w:p>
    <w:p>
      <w:pPr>
        <w:spacing w:line="360" w:lineRule="auto"/>
        <w:ind w:firstLine="560"/>
        <w:rPr>
          <w:rFonts w:ascii="仿宋_GB2312"/>
        </w:rPr>
      </w:pPr>
      <w:r>
        <w:rPr>
          <w:rFonts w:hint="eastAsia" w:ascii="仿宋_GB2312"/>
        </w:rPr>
        <w:t>该项目资金投入情况：经</w:t>
      </w:r>
      <w:r>
        <w:rPr>
          <w:rFonts w:ascii="Nimbus Roman No9 L" w:hAnsi="Nimbus Roman No9 L" w:cs="Nimbus Roman No9 L"/>
          <w:sz w:val="32"/>
          <w:szCs w:val="32"/>
        </w:rPr>
        <w:t>202</w:t>
      </w:r>
      <w:r>
        <w:rPr>
          <w:rFonts w:hint="eastAsia" w:ascii="Nimbus Roman No9 L" w:hAnsi="Nimbus Roman No9 L" w:cs="Nimbus Roman No9 L"/>
          <w:sz w:val="32"/>
          <w:szCs w:val="32"/>
          <w:lang w:val="en-US" w:eastAsia="zh-CN"/>
        </w:rPr>
        <w:t>3</w:t>
      </w:r>
      <w:r>
        <w:rPr>
          <w:rFonts w:ascii="Nimbus Roman No9 L" w:hAnsi="Nimbus Roman No9 L" w:cs="Nimbus Roman No9 L"/>
          <w:sz w:val="32"/>
          <w:szCs w:val="32"/>
        </w:rPr>
        <w:t>年</w:t>
      </w:r>
      <w:r>
        <w:rPr>
          <w:rFonts w:hint="eastAsia" w:ascii="仿宋_GB2312" w:hAnsi="仿宋_GB2312" w:eastAsia="仿宋_GB2312" w:cs="仿宋_GB2312"/>
          <w:color w:val="000000"/>
          <w:spacing w:val="0"/>
          <w:w w:val="100"/>
          <w:position w:val="0"/>
          <w:sz w:val="32"/>
          <w:szCs w:val="32"/>
          <w:lang w:val="en-US" w:eastAsia="zh-CN"/>
        </w:rPr>
        <w:t>财政</w:t>
      </w:r>
      <w:r>
        <w:rPr>
          <w:rFonts w:hint="eastAsia" w:ascii="仿宋_GB2312" w:hAnsi="仿宋_GB2312" w:cs="仿宋_GB2312"/>
          <w:color w:val="000000"/>
          <w:spacing w:val="0"/>
          <w:w w:val="100"/>
          <w:position w:val="0"/>
          <w:sz w:val="32"/>
          <w:szCs w:val="32"/>
          <w:lang w:val="en-US" w:eastAsia="zh-CN"/>
        </w:rPr>
        <w:t>局</w:t>
      </w:r>
      <w:r>
        <w:rPr>
          <w:rFonts w:hint="eastAsia" w:ascii="仿宋_GB2312" w:hAnsi="仿宋_GB2312" w:eastAsia="仿宋_GB2312" w:cs="仿宋_GB2312"/>
          <w:color w:val="000000"/>
          <w:spacing w:val="0"/>
          <w:w w:val="100"/>
          <w:position w:val="0"/>
          <w:sz w:val="32"/>
          <w:szCs w:val="32"/>
          <w:lang w:val="en-US" w:eastAsia="zh-CN"/>
        </w:rPr>
        <w:t>《关于下达2023年中央补助地方公共文化服务体系建设补助资金预算的通知》下达2023年中央补助地方公共文化服务体系建设补助资金预算项目</w:t>
      </w:r>
      <w:r>
        <w:rPr>
          <w:rFonts w:hint="eastAsia" w:ascii="仿宋_GB2312" w:hAnsi="仿宋_GB2312" w:cs="仿宋_GB2312"/>
          <w:color w:val="000000"/>
          <w:spacing w:val="0"/>
          <w:w w:val="100"/>
          <w:position w:val="0"/>
          <w:sz w:val="32"/>
          <w:szCs w:val="32"/>
          <w:lang w:val="en-US" w:eastAsia="zh-CN"/>
        </w:rPr>
        <w:t>-戏曲公益性演出（戏曲进乡村）乌财科教</w:t>
      </w:r>
      <w:r>
        <w:rPr>
          <w:rFonts w:hint="eastAsia" w:ascii="仿宋_GB2312" w:hAnsi="仿宋_GB2312" w:eastAsia="仿宋_GB2312" w:cs="仿宋_GB2312"/>
          <w:color w:val="000000"/>
          <w:spacing w:val="0"/>
          <w:w w:val="100"/>
          <w:position w:val="0"/>
          <w:sz w:val="32"/>
          <w:szCs w:val="32"/>
          <w:lang w:val="en-US" w:eastAsia="zh-CN"/>
        </w:rPr>
        <w:t>〔202</w:t>
      </w:r>
      <w:r>
        <w:rPr>
          <w:rFonts w:hint="eastAsia" w:ascii="仿宋_GB2312" w:hAnsi="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lang w:val="en-US" w:eastAsia="zh-CN"/>
        </w:rPr>
        <w:t>8号</w:t>
      </w:r>
      <w:r>
        <w:rPr>
          <w:rFonts w:hint="eastAsia" w:ascii="仿宋_GB2312"/>
        </w:rPr>
        <w:t>文件批准，项目系</w:t>
      </w:r>
      <w:r>
        <w:rPr>
          <w:rFonts w:ascii="仿宋_GB2312"/>
        </w:rPr>
        <w:t>2023</w:t>
      </w:r>
      <w:r>
        <w:rPr>
          <w:rFonts w:hint="eastAsia" w:ascii="仿宋_GB2312"/>
        </w:rPr>
        <w:t>年</w:t>
      </w:r>
      <w:r>
        <w:rPr>
          <w:rFonts w:hint="eastAsia" w:ascii="仿宋_GB2312"/>
          <w:lang w:eastAsia="zh-CN"/>
        </w:rPr>
        <w:t>中央补助地方公共文化服务体系建设补助</w:t>
      </w:r>
      <w:r>
        <w:rPr>
          <w:rFonts w:hint="eastAsia" w:ascii="仿宋_GB2312"/>
        </w:rPr>
        <w:t>资金，共安排预算</w:t>
      </w:r>
      <w:r>
        <w:rPr>
          <w:rFonts w:hint="eastAsia" w:ascii="仿宋_GB2312"/>
          <w:lang w:val="en-US" w:eastAsia="zh-CN"/>
        </w:rPr>
        <w:t>100.5</w:t>
      </w:r>
      <w:r>
        <w:rPr>
          <w:rFonts w:hint="eastAsia" w:ascii="仿宋_GB2312"/>
        </w:rPr>
        <w:t>万元，于202</w:t>
      </w:r>
      <w:r>
        <w:rPr>
          <w:rFonts w:ascii="仿宋_GB2312"/>
        </w:rPr>
        <w:t>3</w:t>
      </w:r>
      <w:r>
        <w:rPr>
          <w:rFonts w:hint="eastAsia" w:ascii="仿宋_GB2312"/>
        </w:rPr>
        <w:t>年年中追加预算批复项目。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Nimbus Roman No9 L" w:hAnsi="Nimbus Roman No9 L" w:cs="Nimbus Roman No9 L"/>
          <w:sz w:val="32"/>
          <w:szCs w:val="32"/>
        </w:rPr>
      </w:pPr>
      <w:r>
        <w:rPr>
          <w:rFonts w:hint="eastAsia" w:ascii="仿宋_GB2312"/>
        </w:rPr>
        <w:t>该项目资金使用情况：</w:t>
      </w:r>
      <w:r>
        <w:rPr>
          <w:rFonts w:ascii="Nimbus Roman No9 L" w:hAnsi="Nimbus Roman No9 L" w:cs="Nimbus Roman No9 L"/>
          <w:sz w:val="32"/>
          <w:szCs w:val="32"/>
        </w:rPr>
        <w:t>202</w:t>
      </w:r>
      <w:r>
        <w:rPr>
          <w:rFonts w:hint="eastAsia" w:ascii="Nimbus Roman No9 L" w:hAnsi="Nimbus Roman No9 L" w:cs="Nimbus Roman No9 L"/>
          <w:sz w:val="32"/>
          <w:szCs w:val="32"/>
          <w:lang w:val="en-US" w:eastAsia="zh-CN"/>
        </w:rPr>
        <w:t>3</w:t>
      </w:r>
      <w:r>
        <w:rPr>
          <w:rFonts w:ascii="Nimbus Roman No9 L" w:hAnsi="Nimbus Roman No9 L" w:cs="Nimbus Roman No9 L"/>
          <w:sz w:val="32"/>
          <w:szCs w:val="32"/>
        </w:rPr>
        <w:t>年到位</w:t>
      </w:r>
      <w:r>
        <w:rPr>
          <w:rFonts w:hint="eastAsia" w:ascii="Nimbus Roman No9 L" w:hAnsi="Nimbus Roman No9 L" w:cs="Nimbus Roman No9 L"/>
          <w:sz w:val="32"/>
          <w:szCs w:val="32"/>
          <w:lang w:eastAsia="zh-CN"/>
        </w:rPr>
        <w:t>中央补助地方</w:t>
      </w:r>
      <w:r>
        <w:rPr>
          <w:rFonts w:ascii="Nimbus Roman No9 L" w:hAnsi="Nimbus Roman No9 L" w:cs="Nimbus Roman No9 L"/>
          <w:sz w:val="32"/>
          <w:szCs w:val="32"/>
        </w:rPr>
        <w:t>公共文化服务体系建设专项资金</w:t>
      </w:r>
      <w:r>
        <w:rPr>
          <w:rFonts w:hint="eastAsia" w:ascii="Nimbus Roman No9 L" w:hAnsi="Nimbus Roman No9 L" w:cs="Nimbus Roman No9 L"/>
          <w:sz w:val="32"/>
          <w:szCs w:val="32"/>
          <w:lang w:val="en-US" w:eastAsia="zh-CN"/>
        </w:rPr>
        <w:t>100.5</w:t>
      </w:r>
      <w:r>
        <w:rPr>
          <w:rFonts w:ascii="Nimbus Roman No9 L" w:hAnsi="Nimbus Roman No9 L" w:cs="Nimbus Roman No9 L"/>
          <w:sz w:val="32"/>
          <w:szCs w:val="32"/>
        </w:rPr>
        <w:t>万元，下达单位为</w:t>
      </w:r>
      <w:r>
        <w:rPr>
          <w:rFonts w:hint="eastAsia" w:ascii="Nimbus Roman No9 L" w:hAnsi="Nimbus Roman No9 L" w:cs="Nimbus Roman No9 L"/>
          <w:sz w:val="32"/>
          <w:szCs w:val="32"/>
          <w:lang w:eastAsia="zh-CN"/>
        </w:rPr>
        <w:t>乌鲁木齐市财政局</w:t>
      </w:r>
      <w:r>
        <w:rPr>
          <w:rFonts w:ascii="Nimbus Roman No9 L" w:hAnsi="Nimbus Roman No9 L" w:cs="Nimbus Roman No9 L"/>
          <w:sz w:val="32"/>
          <w:szCs w:val="32"/>
        </w:rPr>
        <w:t>，202</w:t>
      </w:r>
      <w:r>
        <w:rPr>
          <w:rFonts w:hint="eastAsia" w:ascii="Nimbus Roman No9 L" w:hAnsi="Nimbus Roman No9 L" w:cs="Nimbus Roman No9 L"/>
          <w:sz w:val="32"/>
          <w:szCs w:val="32"/>
          <w:lang w:val="en-US" w:eastAsia="zh-CN"/>
        </w:rPr>
        <w:t>3</w:t>
      </w:r>
      <w:r>
        <w:rPr>
          <w:rFonts w:ascii="Nimbus Roman No9 L" w:hAnsi="Nimbus Roman No9 L" w:cs="Nimbus Roman No9 L"/>
          <w:sz w:val="32"/>
          <w:szCs w:val="32"/>
        </w:rPr>
        <w:t>年专项资金执行数</w:t>
      </w:r>
      <w:r>
        <w:rPr>
          <w:rFonts w:hint="eastAsia" w:ascii="Nimbus Roman No9 L" w:hAnsi="Nimbus Roman No9 L" w:cs="Nimbus Roman No9 L"/>
          <w:sz w:val="32"/>
          <w:szCs w:val="32"/>
          <w:lang w:val="en-US" w:eastAsia="zh-CN"/>
        </w:rPr>
        <w:t>100.5</w:t>
      </w:r>
      <w:r>
        <w:rPr>
          <w:rFonts w:ascii="Nimbus Roman No9 L" w:hAnsi="Nimbus Roman No9 L" w:cs="Nimbus Roman No9 L"/>
          <w:sz w:val="32"/>
          <w:szCs w:val="32"/>
        </w:rPr>
        <w:t>万元</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cs="仿宋_GB2312"/>
          <w:color w:val="000000"/>
          <w:spacing w:val="0"/>
          <w:w w:val="100"/>
          <w:position w:val="0"/>
          <w:sz w:val="32"/>
          <w:szCs w:val="32"/>
          <w:lang w:val="en-US" w:eastAsia="zh-CN"/>
        </w:rPr>
        <w:t>资金主要用于</w:t>
      </w:r>
      <w:r>
        <w:rPr>
          <w:rFonts w:hint="eastAsia" w:ascii="仿宋_GB2312" w:hAnsi="仿宋_GB2312" w:eastAsia="仿宋_GB2312" w:cs="仿宋_GB2312"/>
          <w:color w:val="000000"/>
          <w:spacing w:val="0"/>
          <w:w w:val="100"/>
          <w:position w:val="0"/>
          <w:sz w:val="32"/>
          <w:szCs w:val="32"/>
          <w:lang w:val="en-US" w:eastAsia="zh-CN"/>
        </w:rPr>
        <w:t>差旅费</w:t>
      </w:r>
      <w:r>
        <w:rPr>
          <w:rFonts w:hint="eastAsia" w:ascii="仿宋_GB2312" w:hAnsi="仿宋_GB2312" w:cs="仿宋_GB2312"/>
          <w:color w:val="000000"/>
          <w:spacing w:val="0"/>
          <w:w w:val="100"/>
          <w:position w:val="0"/>
          <w:sz w:val="32"/>
          <w:szCs w:val="32"/>
          <w:lang w:val="en-US" w:eastAsia="zh-CN"/>
        </w:rPr>
        <w:t>55.83</w:t>
      </w:r>
      <w:r>
        <w:rPr>
          <w:rFonts w:hint="eastAsia" w:ascii="仿宋_GB2312" w:hAnsi="仿宋_GB2312" w:eastAsia="仿宋_GB2312" w:cs="仿宋_GB2312"/>
          <w:color w:val="000000"/>
          <w:spacing w:val="0"/>
          <w:w w:val="100"/>
          <w:position w:val="0"/>
          <w:sz w:val="32"/>
          <w:szCs w:val="32"/>
          <w:lang w:val="en-US" w:eastAsia="zh-CN"/>
        </w:rPr>
        <w:t>万元、委托业务费35</w:t>
      </w:r>
      <w:r>
        <w:rPr>
          <w:rFonts w:hint="eastAsia" w:ascii="仿宋_GB2312" w:hAnsi="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lang w:val="en-US" w:eastAsia="zh-CN"/>
        </w:rPr>
        <w:t>万元</w:t>
      </w:r>
      <w:r>
        <w:rPr>
          <w:rFonts w:hint="eastAsia" w:ascii="仿宋_GB2312" w:hAnsi="仿宋_GB2312" w:cs="仿宋_GB2312"/>
          <w:color w:val="000000"/>
          <w:spacing w:val="0"/>
          <w:w w:val="100"/>
          <w:position w:val="0"/>
          <w:sz w:val="32"/>
          <w:szCs w:val="32"/>
          <w:lang w:val="en-US" w:eastAsia="zh-CN"/>
        </w:rPr>
        <w:t>、租赁费8.25万元、搬运费0.92万元</w:t>
      </w:r>
      <w:r>
        <w:rPr>
          <w:rFonts w:hint="eastAsia" w:ascii="仿宋_GB2312" w:hAnsi="仿宋_GB2312" w:eastAsia="仿宋_GB2312" w:cs="仿宋_GB2312"/>
          <w:color w:val="000000"/>
          <w:spacing w:val="0"/>
          <w:w w:val="100"/>
          <w:position w:val="0"/>
          <w:sz w:val="32"/>
          <w:szCs w:val="32"/>
          <w:lang w:val="en-US" w:eastAsia="zh-CN"/>
        </w:rPr>
        <w:t>）</w:t>
      </w:r>
      <w:r>
        <w:rPr>
          <w:rFonts w:ascii="Nimbus Roman No9 L" w:hAnsi="Nimbus Roman No9 L" w:cs="Nimbus Roman No9 L"/>
          <w:sz w:val="32"/>
          <w:szCs w:val="32"/>
        </w:rPr>
        <w:t>，执行率</w:t>
      </w:r>
      <w:r>
        <w:rPr>
          <w:rFonts w:hint="eastAsia" w:ascii="Nimbus Roman No9 L" w:hAnsi="Nimbus Roman No9 L" w:cs="Nimbus Roman No9 L"/>
          <w:sz w:val="32"/>
          <w:szCs w:val="32"/>
          <w:lang w:val="en-US" w:eastAsia="zh-CN"/>
        </w:rPr>
        <w:t>100</w:t>
      </w:r>
      <w:r>
        <w:rPr>
          <w:rFonts w:ascii="Nimbus Roman No9 L" w:hAnsi="Nimbus Roman No9 L" w:cs="Nimbus Roman No9 L"/>
          <w:sz w:val="32"/>
          <w:szCs w:val="32"/>
        </w:rPr>
        <w:t>%</w:t>
      </w:r>
      <w:r>
        <w:rPr>
          <w:rFonts w:hint="eastAsia" w:ascii="Nimbus Roman No9 L" w:hAnsi="Nimbus Roman No9 L" w:cs="Nimbus Roman No9 L"/>
          <w:sz w:val="32"/>
          <w:szCs w:val="32"/>
        </w:rPr>
        <w:t>。</w:t>
      </w:r>
      <w:r>
        <w:rPr>
          <w:rFonts w:ascii="Nimbus Roman No9 L" w:hAnsi="Nimbus Roman No9 L" w:cs="Nimbus Roman No9 L"/>
          <w:sz w:val="32"/>
          <w:szCs w:val="32"/>
        </w:rPr>
        <w:t xml:space="preserve"> </w:t>
      </w:r>
    </w:p>
    <w:p>
      <w:pPr>
        <w:spacing w:line="360" w:lineRule="auto"/>
        <w:ind w:firstLine="560"/>
        <w:rPr>
          <w:rFonts w:ascii="仿宋_GB2312"/>
        </w:rPr>
      </w:pPr>
    </w:p>
    <w:p>
      <w:pPr>
        <w:pStyle w:val="3"/>
        <w:ind w:firstLine="643"/>
        <w:rPr>
          <w:rFonts w:ascii="仿宋" w:hAnsi="仿宋" w:eastAsia="仿宋"/>
          <w:lang w:bidi="en-US"/>
        </w:rPr>
      </w:pPr>
      <w:bookmarkStart w:id="6" w:name="_Toc67911603"/>
      <w:bookmarkStart w:id="7" w:name="_Toc165277224"/>
      <w:r>
        <w:rPr>
          <w:rFonts w:hint="eastAsia" w:ascii="仿宋" w:hAnsi="仿宋" w:eastAsia="仿宋"/>
          <w:lang w:bidi="en-US"/>
        </w:rPr>
        <w:t>（二）项目绩效目标：</w:t>
      </w:r>
      <w:bookmarkEnd w:id="6"/>
      <w:bookmarkEnd w:id="7"/>
    </w:p>
    <w:p>
      <w:pPr>
        <w:spacing w:line="360" w:lineRule="auto"/>
        <w:ind w:firstLine="560"/>
        <w:rPr>
          <w:rFonts w:ascii="仿宋_GB2312" w:hAnsi="仿宋"/>
          <w:szCs w:val="28"/>
        </w:rPr>
      </w:pPr>
      <w:r>
        <w:rPr>
          <w:rFonts w:hint="eastAsia" w:ascii="仿宋_GB2312" w:hAnsi="仿宋"/>
          <w:szCs w:val="28"/>
        </w:rPr>
        <w:t>本项目依据《中共中央 国务院关于全面实施预算绩效管理的意见》（中发〔2018〕</w:t>
      </w:r>
      <w:r>
        <w:rPr>
          <w:rFonts w:ascii="仿宋_GB2312" w:hAnsi="仿宋"/>
          <w:szCs w:val="28"/>
        </w:rPr>
        <w:t>34</w:t>
      </w:r>
      <w:r>
        <w:rPr>
          <w:rFonts w:hint="eastAsia" w:ascii="仿宋_GB2312" w:hAnsi="仿宋"/>
          <w:szCs w:val="28"/>
        </w:rPr>
        <w:t>号）、《关于印发&lt;乌鲁木齐市本级部门预算绩效目标管理暂行办法</w:t>
      </w:r>
      <w:r>
        <w:rPr>
          <w:rFonts w:ascii="仿宋_GB2312" w:hAnsi="仿宋"/>
          <w:szCs w:val="28"/>
        </w:rPr>
        <w:t>&gt;</w:t>
      </w:r>
      <w:r>
        <w:rPr>
          <w:rFonts w:hint="eastAsia" w:ascii="仿宋_GB2312" w:hAnsi="仿宋"/>
          <w:szCs w:val="28"/>
        </w:rPr>
        <w:t>的通知》（乌财预</w:t>
      </w:r>
      <w:bookmarkStart w:id="8" w:name="_Hlk67566397"/>
      <w:r>
        <w:rPr>
          <w:rFonts w:hint="eastAsia" w:ascii="仿宋_GB2312" w:hAnsi="仿宋"/>
          <w:szCs w:val="28"/>
        </w:rPr>
        <w:t>〔2018〕</w:t>
      </w:r>
      <w:r>
        <w:rPr>
          <w:rFonts w:ascii="仿宋_GB2312" w:hAnsi="仿宋"/>
          <w:szCs w:val="28"/>
        </w:rPr>
        <w:t>5</w:t>
      </w:r>
      <w:r>
        <w:rPr>
          <w:rFonts w:hint="eastAsia" w:ascii="仿宋_GB2312" w:hAnsi="仿宋"/>
          <w:szCs w:val="28"/>
        </w:rPr>
        <w:t>6号</w:t>
      </w:r>
      <w:bookmarkEnd w:id="8"/>
      <w:r>
        <w:rPr>
          <w:rFonts w:hint="eastAsia" w:ascii="仿宋_GB2312" w:hAnsi="仿宋"/>
          <w:szCs w:val="28"/>
        </w:rPr>
        <w:t>）、《关于做好2</w:t>
      </w:r>
      <w:r>
        <w:rPr>
          <w:rFonts w:ascii="仿宋_GB2312" w:hAnsi="仿宋"/>
          <w:szCs w:val="28"/>
        </w:rPr>
        <w:t>019</w:t>
      </w:r>
      <w:r>
        <w:rPr>
          <w:rFonts w:hint="eastAsia" w:ascii="仿宋_GB2312" w:hAnsi="仿宋"/>
          <w:szCs w:val="28"/>
        </w:rPr>
        <w:t>年部门预算项目支出绩效目标管理有关事宜的通知》（乌财预〔20</w:t>
      </w:r>
      <w:r>
        <w:rPr>
          <w:rFonts w:ascii="仿宋_GB2312" w:hAnsi="仿宋"/>
          <w:szCs w:val="28"/>
        </w:rPr>
        <w:t>18</w:t>
      </w:r>
      <w:r>
        <w:rPr>
          <w:rFonts w:hint="eastAsia" w:ascii="仿宋_GB2312" w:hAnsi="仿宋"/>
          <w:szCs w:val="28"/>
        </w:rPr>
        <w:t>〕</w:t>
      </w:r>
      <w:r>
        <w:rPr>
          <w:rFonts w:ascii="仿宋_GB2312" w:hAnsi="仿宋"/>
          <w:szCs w:val="28"/>
        </w:rPr>
        <w:t>76</w:t>
      </w:r>
      <w:r>
        <w:rPr>
          <w:rFonts w:hint="eastAsia" w:ascii="仿宋_GB2312" w:hAnsi="仿宋"/>
          <w:szCs w:val="28"/>
        </w:rPr>
        <w:t>号）和《项目支出绩效评价管理办法》（财预〔20</w:t>
      </w:r>
      <w:r>
        <w:rPr>
          <w:rFonts w:ascii="仿宋_GB2312" w:hAnsi="仿宋"/>
          <w:szCs w:val="28"/>
        </w:rPr>
        <w:t>20</w:t>
      </w:r>
      <w:r>
        <w:rPr>
          <w:rFonts w:hint="eastAsia" w:ascii="仿宋_GB2312" w:hAnsi="仿宋"/>
          <w:szCs w:val="28"/>
        </w:rPr>
        <w:t>〕</w:t>
      </w:r>
      <w:r>
        <w:rPr>
          <w:rFonts w:ascii="仿宋_GB2312" w:hAnsi="仿宋"/>
          <w:szCs w:val="28"/>
        </w:rPr>
        <w:t>10</w:t>
      </w:r>
      <w:r>
        <w:rPr>
          <w:rFonts w:hint="eastAsia" w:ascii="仿宋_GB2312" w:hAnsi="仿宋"/>
          <w:szCs w:val="28"/>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ascii="仿宋_GB2312" w:hAnsi="仿宋"/>
          <w:szCs w:val="28"/>
        </w:rPr>
      </w:pPr>
      <w:r>
        <w:rPr>
          <w:rFonts w:hint="eastAsia" w:ascii="仿宋_GB2312" w:hAnsi="仿宋"/>
          <w:szCs w:val="28"/>
        </w:rPr>
        <w:t>该项目为跨年项目</w:t>
      </w:r>
      <w:r>
        <w:rPr>
          <w:rFonts w:ascii="仿宋_GB2312" w:hAnsi="仿宋"/>
          <w:szCs w:val="28"/>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_GB2312" w:hAnsi="仿宋"/>
          <w:szCs w:val="28"/>
        </w:rPr>
      </w:pPr>
      <w:r>
        <w:rPr>
          <w:rFonts w:hint="eastAsia" w:ascii="仿宋_GB2312" w:hAnsi="仿宋"/>
          <w:szCs w:val="28"/>
        </w:rPr>
        <w:t>该项目总体绩效目标：</w:t>
      </w:r>
      <w:r>
        <w:rPr>
          <w:rFonts w:hint="eastAsia" w:ascii="仿宋" w:hAnsi="仿宋" w:eastAsia="仿宋" w:cs="仿宋"/>
          <w:sz w:val="32"/>
          <w:szCs w:val="32"/>
        </w:rPr>
        <w:t>根据演出活动要求，领导小组严格把关演出质量效果、同时进行动态跟踪督查，根据演出地点和观众群体的不同而调整，坚持以群众喜闻乐见的形式高质量完成每场演出。</w:t>
      </w:r>
    </w:p>
    <w:p>
      <w:pPr>
        <w:spacing w:line="360" w:lineRule="auto"/>
        <w:ind w:firstLine="560"/>
        <w:rPr>
          <w:rFonts w:hint="eastAsia" w:ascii="仿宋_GB2312" w:hAnsi="仿宋"/>
          <w:szCs w:val="28"/>
        </w:rPr>
      </w:pPr>
      <w:r>
        <w:rPr>
          <w:rFonts w:ascii="仿宋_GB2312" w:hAnsi="仿宋"/>
          <w:szCs w:val="28"/>
        </w:rPr>
        <w:t>该项目阶段性目标为：</w:t>
      </w:r>
      <w:r>
        <w:rPr>
          <w:rFonts w:hint="eastAsia" w:ascii="仿宋_GB2312" w:hAnsi="仿宋"/>
          <w:szCs w:val="28"/>
        </w:rPr>
        <w:t>在2</w:t>
      </w:r>
      <w:r>
        <w:rPr>
          <w:rFonts w:ascii="仿宋_GB2312" w:hAnsi="仿宋"/>
          <w:szCs w:val="28"/>
        </w:rPr>
        <w:t>023年</w:t>
      </w:r>
      <w:r>
        <w:rPr>
          <w:rFonts w:hint="eastAsia" w:ascii="仿宋_GB2312" w:hAnsi="仿宋"/>
          <w:szCs w:val="28"/>
        </w:rPr>
        <w:t>计划完成</w:t>
      </w:r>
      <w:r>
        <w:rPr>
          <w:rFonts w:hint="eastAsia" w:ascii="仿宋_GB2312" w:hAnsi="仿宋"/>
          <w:szCs w:val="28"/>
          <w:lang w:val="en-US" w:eastAsia="zh-CN"/>
        </w:rPr>
        <w:t>200场“戏曲进乡村”演出工作</w:t>
      </w:r>
      <w:r>
        <w:rPr>
          <w:rFonts w:hint="eastAsia" w:ascii="仿宋_GB2312" w:hAnsi="仿宋"/>
          <w:szCs w:val="28"/>
        </w:rPr>
        <w:t>，</w:t>
      </w:r>
      <w:r>
        <w:rPr>
          <w:rFonts w:hint="eastAsia" w:ascii="仿宋_GB2312" w:hAnsi="仿宋"/>
          <w:szCs w:val="28"/>
          <w:lang w:eastAsia="zh-CN"/>
        </w:rPr>
        <w:t>分别是覆盖喀什、克州两个地区的县市乡村</w:t>
      </w:r>
      <w:r>
        <w:rPr>
          <w:rFonts w:hint="eastAsia" w:ascii="仿宋_GB2312" w:hAnsi="仿宋"/>
          <w:szCs w:val="28"/>
        </w:rPr>
        <w:t>。</w:t>
      </w:r>
    </w:p>
    <w:p>
      <w:pPr>
        <w:pStyle w:val="2"/>
        <w:ind w:firstLine="0" w:firstLineChars="0"/>
        <w:jc w:val="left"/>
        <w:rPr>
          <w:rFonts w:ascii="仿宋" w:hAnsi="仿宋" w:eastAsia="仿宋"/>
          <w:sz w:val="36"/>
          <w:szCs w:val="36"/>
          <w:lang w:bidi="en-US"/>
        </w:rPr>
      </w:pPr>
      <w:bookmarkStart w:id="9" w:name="_Toc67911604"/>
      <w:bookmarkStart w:id="10" w:name="_Toc165277225"/>
      <w:r>
        <w:rPr>
          <w:rFonts w:hint="eastAsia" w:ascii="仿宋" w:hAnsi="仿宋" w:eastAsia="仿宋"/>
          <w:sz w:val="36"/>
          <w:szCs w:val="36"/>
          <w:lang w:bidi="en-US"/>
        </w:rPr>
        <w:t>二、绩效评价工作开展情况</w:t>
      </w:r>
      <w:bookmarkEnd w:id="9"/>
      <w:bookmarkEnd w:id="10"/>
    </w:p>
    <w:p>
      <w:pPr>
        <w:pStyle w:val="3"/>
        <w:ind w:firstLine="643"/>
        <w:rPr>
          <w:rFonts w:ascii="仿宋" w:hAnsi="仿宋" w:eastAsia="仿宋"/>
          <w:lang w:bidi="en-US"/>
        </w:rPr>
      </w:pPr>
      <w:bookmarkStart w:id="11" w:name="_Toc165277226"/>
      <w:bookmarkStart w:id="12" w:name="_Toc67911605"/>
      <w:r>
        <w:rPr>
          <w:rFonts w:hint="eastAsia" w:ascii="仿宋" w:hAnsi="仿宋" w:eastAsia="仿宋"/>
          <w:lang w:bidi="en-US"/>
        </w:rPr>
        <w:t>（一）绩效评价目的、对象和范围</w:t>
      </w:r>
      <w:bookmarkEnd w:id="11"/>
      <w:bookmarkEnd w:id="12"/>
    </w:p>
    <w:p>
      <w:pPr>
        <w:pStyle w:val="4"/>
        <w:ind w:firstLine="643"/>
        <w:rPr>
          <w:rFonts w:hint="eastAsia" w:ascii="仿宋_GB2312" w:hAnsi="仿宋"/>
          <w:szCs w:val="28"/>
          <w:highlight w:val="red"/>
        </w:rPr>
      </w:pPr>
      <w:bookmarkStart w:id="13" w:name="_Toc165277227"/>
      <w:r>
        <w:rPr>
          <w:rFonts w:hint="eastAsia"/>
        </w:rPr>
        <w:t>1</w:t>
      </w:r>
      <w:r>
        <w:t>.绩效评价完整性</w:t>
      </w:r>
      <w:bookmarkEnd w:id="13"/>
    </w:p>
    <w:p>
      <w:pPr>
        <w:spacing w:line="360" w:lineRule="auto"/>
        <w:ind w:firstLine="560"/>
        <w:rPr>
          <w:rFonts w:hint="eastAsia" w:ascii="仿宋_GB2312" w:hAnsi="仿宋"/>
          <w:szCs w:val="28"/>
          <w:highlight w:val="none"/>
          <w:lang w:val="en-US" w:eastAsia="zh-CN"/>
        </w:rPr>
      </w:pPr>
      <w:r>
        <w:rPr>
          <w:rFonts w:hint="eastAsia" w:ascii="仿宋_GB2312" w:hAnsi="仿宋"/>
          <w:szCs w:val="28"/>
          <w:highlight w:val="none"/>
          <w:lang w:val="en-US" w:eastAsia="zh-CN"/>
        </w:rPr>
        <w:t>戏曲进乡村演出活动，在项目计划过程中及时与当地文旅部门对接，根据观众的需要增加演出场次及合理性的安排普及爱好者的培训工作，有效的推进了各项工作演出任务。我团根据项目开展情况，细化评价指标，评价数据来源与演出场次登记、演出照片视频拍摄，媒体采访报道演出信息等内容，确保了数据的准确性和完整性。</w:t>
      </w:r>
    </w:p>
    <w:p>
      <w:pPr>
        <w:spacing w:line="360" w:lineRule="auto"/>
        <w:ind w:firstLine="560"/>
        <w:rPr>
          <w:rFonts w:hint="eastAsia" w:ascii="仿宋_GB2312" w:hAnsi="仿宋"/>
          <w:szCs w:val="28"/>
          <w:highlight w:val="none"/>
        </w:rPr>
      </w:pPr>
    </w:p>
    <w:p>
      <w:pPr>
        <w:spacing w:line="360" w:lineRule="auto"/>
        <w:ind w:firstLine="560"/>
        <w:rPr>
          <w:rFonts w:hint="eastAsia" w:ascii="仿宋_GB2312" w:hAnsi="仿宋"/>
          <w:szCs w:val="28"/>
          <w:highlight w:val="red"/>
        </w:rPr>
      </w:pPr>
    </w:p>
    <w:p>
      <w:pPr>
        <w:pStyle w:val="4"/>
        <w:ind w:firstLine="643"/>
      </w:pPr>
      <w:bookmarkStart w:id="14" w:name="_Toc165277228"/>
      <w:r>
        <w:t>2</w:t>
      </w:r>
      <w:r>
        <w:rPr>
          <w:rFonts w:hint="eastAsia"/>
        </w:rPr>
        <w:t>.评价目的</w:t>
      </w:r>
      <w:bookmarkEnd w:id="14"/>
    </w:p>
    <w:p>
      <w:pPr>
        <w:spacing w:line="360" w:lineRule="auto"/>
        <w:ind w:firstLine="560"/>
        <w:rPr>
          <w:rFonts w:ascii="仿宋_GB2312"/>
          <w:b/>
          <w:bCs/>
        </w:rPr>
      </w:pPr>
      <w:r>
        <w:rPr>
          <w:rFonts w:hint="eastAsia" w:ascii="仿宋_GB231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Pr>
          <w:rFonts w:hint="eastAsia" w:ascii="仿宋_GB2312"/>
          <w:highlight w:val="none"/>
        </w:rPr>
        <w:t>财政委托审计费项目实施情况，并考察项目实施过程和效果。（2）通过评</w:t>
      </w:r>
      <w:r>
        <w:rPr>
          <w:rFonts w:hint="eastAsia" w:ascii="仿宋_GB2312"/>
        </w:rPr>
        <w:t>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pStyle w:val="4"/>
        <w:ind w:firstLine="643"/>
      </w:pPr>
      <w:bookmarkStart w:id="15" w:name="_Toc165277229"/>
      <w:r>
        <w:t>3</w:t>
      </w:r>
      <w:r>
        <w:rPr>
          <w:rFonts w:hint="eastAsia"/>
        </w:rPr>
        <w:t>.评价对象</w:t>
      </w:r>
      <w:bookmarkEnd w:id="15"/>
    </w:p>
    <w:p>
      <w:pPr>
        <w:spacing w:line="360" w:lineRule="auto"/>
        <w:ind w:firstLine="560"/>
        <w:rPr>
          <w:rFonts w:ascii="仿宋_GB2312"/>
        </w:rPr>
      </w:pPr>
      <w:r>
        <w:rPr>
          <w:rFonts w:hint="eastAsia" w:ascii="仿宋_GB2312"/>
        </w:rPr>
        <w:t>（1）绩效评价的对象：</w:t>
      </w:r>
      <w:r>
        <w:rPr>
          <w:rFonts w:hint="eastAsia" w:ascii="仿宋_GB2312"/>
          <w:lang w:eastAsia="zh-CN"/>
        </w:rPr>
        <w:t>戏曲公益性演出（戏曲进乡村）</w:t>
      </w:r>
      <w:r>
        <w:rPr>
          <w:rFonts w:hint="eastAsia" w:ascii="仿宋_GB2312"/>
        </w:rPr>
        <w:t>项目</w:t>
      </w:r>
      <w:r>
        <w:rPr>
          <w:rFonts w:ascii="仿宋_GB2312"/>
        </w:rPr>
        <w:t xml:space="preserve"> </w:t>
      </w:r>
    </w:p>
    <w:p>
      <w:pPr>
        <w:pStyle w:val="4"/>
        <w:ind w:firstLine="643"/>
      </w:pPr>
      <w:bookmarkStart w:id="16" w:name="_Toc165277230"/>
      <w:r>
        <w:rPr>
          <w:rFonts w:hint="eastAsia"/>
        </w:rPr>
        <w:t>4</w:t>
      </w:r>
      <w:r>
        <w:t>.</w:t>
      </w:r>
      <w:r>
        <w:rPr>
          <w:rFonts w:hint="eastAsia"/>
        </w:rPr>
        <w:t>绩效评价范围</w:t>
      </w:r>
      <w:bookmarkEnd w:id="16"/>
    </w:p>
    <w:p>
      <w:pPr>
        <w:spacing w:line="360" w:lineRule="auto"/>
        <w:ind w:firstLine="560"/>
        <w:rPr>
          <w:rFonts w:ascii="仿宋_GB2312"/>
        </w:rPr>
      </w:pPr>
      <w:r>
        <w:rPr>
          <w:rFonts w:ascii="仿宋_GB2312"/>
        </w:rPr>
        <w:t>1.</w:t>
      </w:r>
      <w:r>
        <w:rPr>
          <w:rFonts w:hint="eastAsia" w:ascii="仿宋_GB2312"/>
        </w:rPr>
        <w:t>时间范围：2</w:t>
      </w:r>
      <w:r>
        <w:rPr>
          <w:rFonts w:ascii="仿宋_GB2312"/>
        </w:rPr>
        <w:t>023</w:t>
      </w:r>
      <w:r>
        <w:rPr>
          <w:rFonts w:hint="eastAsia" w:ascii="仿宋_GB2312"/>
        </w:rPr>
        <w:t>年1月1日至2</w:t>
      </w:r>
      <w:r>
        <w:rPr>
          <w:rFonts w:ascii="仿宋_GB2312"/>
        </w:rPr>
        <w:t>023</w:t>
      </w:r>
      <w:r>
        <w:rPr>
          <w:rFonts w:hint="eastAsia" w:ascii="仿宋_GB2312"/>
        </w:rPr>
        <w:t>年1</w:t>
      </w:r>
      <w:r>
        <w:rPr>
          <w:rFonts w:ascii="仿宋_GB2312"/>
        </w:rPr>
        <w:t>2</w:t>
      </w:r>
      <w:r>
        <w:rPr>
          <w:rFonts w:hint="eastAsia" w:ascii="仿宋_GB2312"/>
        </w:rPr>
        <w:t>月3</w:t>
      </w:r>
      <w:r>
        <w:rPr>
          <w:rFonts w:ascii="仿宋_GB2312"/>
        </w:rPr>
        <w:t>1</w:t>
      </w:r>
      <w:r>
        <w:rPr>
          <w:rFonts w:hint="eastAsia" w:ascii="仿宋_GB2312"/>
        </w:rPr>
        <w:t>日。</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
          <w:szCs w:val="28"/>
          <w:highlight w:val="none"/>
        </w:rPr>
      </w:pPr>
      <w:r>
        <w:rPr>
          <w:rFonts w:ascii="仿宋_GB2312"/>
        </w:rPr>
        <w:t>2.</w:t>
      </w:r>
      <w:r>
        <w:rPr>
          <w:rFonts w:hint="eastAsia" w:ascii="仿宋_GB2312"/>
        </w:rPr>
        <w:t>项目范围：</w:t>
      </w:r>
      <w:r>
        <w:rPr>
          <w:rFonts w:hint="eastAsia" w:ascii="仿宋_GB2312"/>
          <w:highlight w:val="none"/>
          <w:lang w:eastAsia="zh-CN"/>
        </w:rPr>
        <w:t>戏曲公益性演出（戏曲进乡村）</w:t>
      </w:r>
      <w:r>
        <w:rPr>
          <w:rFonts w:hint="eastAsia" w:ascii="仿宋_GB2312"/>
          <w:highlight w:val="none"/>
          <w:lang w:val="en-US" w:eastAsia="zh-CN"/>
        </w:rPr>
        <w:t>项目</w:t>
      </w:r>
      <w:r>
        <w:rPr>
          <w:rFonts w:hint="eastAsia" w:ascii="仿宋_GB2312"/>
          <w:highlight w:val="none"/>
          <w:lang w:eastAsia="zh-CN"/>
        </w:rPr>
        <w:t>根据演出活动要求，领导小组严格把关演出质量效果、同时进行动态跟踪督查，根据演出地点和观众群体的不同而调整，坚持以群众喜闻乐见的形式高质量完成每场演出。</w:t>
      </w:r>
      <w:r>
        <w:rPr>
          <w:rFonts w:hint="eastAsia" w:ascii="仿宋_GB2312" w:hAnsi="仿宋"/>
          <w:szCs w:val="28"/>
          <w:highlight w:val="none"/>
        </w:rPr>
        <w:t>在2</w:t>
      </w:r>
      <w:r>
        <w:rPr>
          <w:rFonts w:ascii="仿宋_GB2312" w:hAnsi="仿宋"/>
          <w:szCs w:val="28"/>
          <w:highlight w:val="none"/>
        </w:rPr>
        <w:t>023年</w:t>
      </w:r>
      <w:r>
        <w:rPr>
          <w:rFonts w:hint="eastAsia" w:ascii="仿宋_GB2312" w:hAnsi="仿宋"/>
          <w:szCs w:val="28"/>
          <w:highlight w:val="none"/>
        </w:rPr>
        <w:t>计划完成</w:t>
      </w:r>
      <w:r>
        <w:rPr>
          <w:rFonts w:hint="eastAsia" w:ascii="仿宋_GB2312" w:hAnsi="仿宋"/>
          <w:szCs w:val="28"/>
          <w:highlight w:val="none"/>
          <w:lang w:val="en-US" w:eastAsia="zh-CN"/>
        </w:rPr>
        <w:t>200场“戏曲进乡村”演出工作</w:t>
      </w:r>
      <w:r>
        <w:rPr>
          <w:rFonts w:hint="eastAsia" w:ascii="仿宋_GB2312" w:hAnsi="仿宋"/>
          <w:szCs w:val="28"/>
          <w:highlight w:val="none"/>
        </w:rPr>
        <w:t>，</w:t>
      </w:r>
      <w:r>
        <w:rPr>
          <w:rFonts w:hint="eastAsia" w:ascii="仿宋_GB2312" w:hAnsi="仿宋"/>
          <w:szCs w:val="28"/>
          <w:highlight w:val="none"/>
          <w:lang w:eastAsia="zh-CN"/>
        </w:rPr>
        <w:t>分别是覆盖喀什、克州两个地区的县市乡村</w:t>
      </w:r>
      <w:r>
        <w:rPr>
          <w:rFonts w:hint="eastAsia" w:ascii="仿宋_GB2312" w:hAnsi="仿宋"/>
          <w:szCs w:val="28"/>
          <w:highlight w:val="none"/>
        </w:rPr>
        <w:t>。</w:t>
      </w:r>
      <w:r>
        <w:rPr>
          <w:rFonts w:hint="eastAsia" w:ascii="仿宋" w:hAnsi="仿宋" w:eastAsia="仿宋"/>
          <w:b w:val="0"/>
          <w:bCs w:val="0"/>
          <w:sz w:val="28"/>
          <w:szCs w:val="28"/>
          <w:highlight w:val="none"/>
          <w:lang w:val="en-US" w:eastAsia="zh-CN" w:bidi="en-US"/>
        </w:rPr>
        <w:t>通过项目的实施，进一步弘扬了中华优秀传统文化艺术，更好的普及了戏曲表演知识，培育了观众群体。</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560" w:firstLineChars="200"/>
        <w:textAlignment w:val="auto"/>
        <w:rPr>
          <w:rStyle w:val="22"/>
          <w:rFonts w:hint="eastAsia" w:ascii="仿宋_GB2312" w:hAnsi="仿宋_GB2312" w:cs="仿宋_GB2312"/>
          <w:sz w:val="28"/>
          <w:szCs w:val="28"/>
          <w:highlight w:val="none"/>
          <w:lang w:val="en-US" w:eastAsia="zh-CN"/>
        </w:rPr>
      </w:pPr>
      <w:r>
        <w:rPr>
          <w:rStyle w:val="22"/>
          <w:rFonts w:hint="eastAsia" w:ascii="仿宋_GB2312" w:hAnsi="仿宋_GB2312" w:cs="仿宋_GB2312"/>
          <w:sz w:val="28"/>
          <w:szCs w:val="28"/>
          <w:highlight w:val="none"/>
          <w:lang w:val="en-US" w:eastAsia="zh-CN"/>
        </w:rPr>
        <w:t>完成下基层</w:t>
      </w:r>
      <w:r>
        <w:rPr>
          <w:rStyle w:val="22"/>
          <w:rFonts w:hint="eastAsia" w:ascii="仿宋_GB2312" w:hAnsi="仿宋_GB2312" w:cs="仿宋_GB2312"/>
          <w:sz w:val="28"/>
          <w:szCs w:val="28"/>
          <w:highlight w:val="none"/>
          <w:lang w:eastAsia="zh-CN"/>
        </w:rPr>
        <w:t>演出场次</w:t>
      </w:r>
      <w:r>
        <w:rPr>
          <w:rStyle w:val="22"/>
          <w:rFonts w:hint="eastAsia" w:ascii="仿宋_GB2312" w:hAnsi="仿宋_GB2312" w:cs="仿宋_GB2312"/>
          <w:sz w:val="28"/>
          <w:szCs w:val="28"/>
          <w:highlight w:val="none"/>
          <w:lang w:val="en-US" w:eastAsia="zh-CN"/>
        </w:rPr>
        <w:t>216场，驻场演出场次：41场，惠民演出场次69场，丰富和活跃地方群众文化生活，完成好政府交办的民生实事，让基层百姓共享文化成果，使人民基本文化权益得到更好的保障。</w:t>
      </w:r>
    </w:p>
    <w:p>
      <w:pPr>
        <w:spacing w:line="360" w:lineRule="auto"/>
        <w:ind w:firstLine="560"/>
        <w:rPr>
          <w:rFonts w:hint="default" w:ascii="仿宋_GB2312" w:eastAsia="仿宋_GB2312"/>
          <w:highlight w:val="none"/>
          <w:lang w:val="en-US" w:eastAsia="zh-CN"/>
        </w:rPr>
      </w:pPr>
      <w:r>
        <w:rPr>
          <w:rFonts w:hint="eastAsia" w:ascii="仿宋_GB2312"/>
          <w:highlight w:val="none"/>
          <w:lang w:val="en-US" w:eastAsia="zh-CN"/>
        </w:rPr>
        <w:t>由于</w:t>
      </w:r>
      <w:r>
        <w:rPr>
          <w:rFonts w:hint="eastAsia" w:ascii="仿宋_GB2312"/>
          <w:highlight w:val="none"/>
        </w:rPr>
        <w:t>乡村演出场地条件有所限制，基本的演员化妆和更衣区域不完全具备，给戏曲演出带来了一定不便</w:t>
      </w:r>
      <w:r>
        <w:rPr>
          <w:rFonts w:hint="eastAsia" w:ascii="仿宋_GB2312"/>
          <w:highlight w:val="none"/>
          <w:lang w:eastAsia="zh-CN"/>
        </w:rPr>
        <w:t>，</w:t>
      </w:r>
      <w:r>
        <w:rPr>
          <w:rFonts w:hint="eastAsia" w:ascii="仿宋_GB2312"/>
          <w:highlight w:val="none"/>
          <w:lang w:val="en-US" w:eastAsia="zh-CN"/>
        </w:rPr>
        <w:t>后期我团将根据场地情况调整节目内容。</w:t>
      </w:r>
    </w:p>
    <w:p>
      <w:pPr>
        <w:pageBreakBefore w:val="0"/>
        <w:widowControl w:val="0"/>
        <w:kinsoku/>
        <w:wordWrap/>
        <w:overflowPunct/>
        <w:topLinePunct w:val="0"/>
        <w:autoSpaceDE/>
        <w:autoSpaceDN/>
        <w:bidi w:val="0"/>
        <w:adjustRightInd/>
        <w:snapToGrid/>
        <w:spacing w:line="360" w:lineRule="auto"/>
        <w:ind w:firstLine="560"/>
        <w:textAlignment w:val="auto"/>
        <w:rPr>
          <w:rFonts w:ascii="仿宋_GB2312"/>
        </w:rPr>
      </w:pPr>
      <w:r>
        <w:rPr>
          <w:rFonts w:hint="eastAsia" w:ascii="仿宋_GB2312"/>
          <w:szCs w:val="28"/>
          <w:lang w:val="en-US" w:eastAsia="zh-CN"/>
        </w:rPr>
        <w:t>总体看来，我团</w:t>
      </w:r>
      <w:r>
        <w:rPr>
          <w:rFonts w:hint="eastAsia" w:ascii="仿宋_GB2312"/>
          <w:szCs w:val="28"/>
        </w:rPr>
        <w:t>2</w:t>
      </w:r>
      <w:r>
        <w:rPr>
          <w:rFonts w:ascii="仿宋_GB2312"/>
          <w:szCs w:val="28"/>
        </w:rPr>
        <w:t>023</w:t>
      </w:r>
      <w:r>
        <w:rPr>
          <w:rFonts w:hint="eastAsia" w:ascii="仿宋_GB2312"/>
          <w:szCs w:val="28"/>
        </w:rPr>
        <w:t>年</w:t>
      </w:r>
      <w:r>
        <w:rPr>
          <w:rFonts w:hint="eastAsia" w:ascii="仿宋_GB2312"/>
          <w:lang w:eastAsia="zh-CN"/>
        </w:rPr>
        <w:t>戏曲公益性演出（戏曲进乡村）</w:t>
      </w:r>
      <w:r>
        <w:rPr>
          <w:rFonts w:hint="eastAsia" w:ascii="仿宋_GB2312"/>
        </w:rPr>
        <w:t>项目</w:t>
      </w:r>
      <w:r>
        <w:rPr>
          <w:rFonts w:hint="eastAsia" w:ascii="仿宋_GB2312"/>
          <w:szCs w:val="28"/>
          <w:lang w:val="en-US" w:eastAsia="zh-CN"/>
        </w:rPr>
        <w:t>推进情况良好</w:t>
      </w:r>
      <w:r>
        <w:rPr>
          <w:rFonts w:hint="eastAsia" w:ascii="仿宋_GB2312"/>
          <w:szCs w:val="28"/>
        </w:rPr>
        <w:t>。</w:t>
      </w:r>
    </w:p>
    <w:p>
      <w:pPr>
        <w:pStyle w:val="3"/>
        <w:ind w:firstLine="643"/>
        <w:rPr>
          <w:rFonts w:ascii="仿宋" w:hAnsi="仿宋" w:eastAsia="仿宋"/>
          <w:lang w:bidi="en-US"/>
        </w:rPr>
      </w:pPr>
      <w:bookmarkStart w:id="17" w:name="_Toc165277231"/>
      <w:bookmarkStart w:id="18" w:name="_Toc67911606"/>
      <w:bookmarkStart w:id="19" w:name="_Hlk67586765"/>
      <w:r>
        <w:rPr>
          <w:rFonts w:hint="eastAsia" w:ascii="仿宋" w:hAnsi="仿宋" w:eastAsia="仿宋"/>
          <w:lang w:bidi="en-US"/>
        </w:rPr>
        <w:t>（二）绩效评价原则、指标体系、方法及标准</w:t>
      </w:r>
      <w:bookmarkEnd w:id="17"/>
      <w:bookmarkEnd w:id="18"/>
    </w:p>
    <w:bookmarkEnd w:id="19"/>
    <w:p>
      <w:pPr>
        <w:pStyle w:val="4"/>
        <w:ind w:firstLine="643"/>
      </w:pPr>
      <w:bookmarkStart w:id="20" w:name="_Toc165277232"/>
      <w:r>
        <w:rPr>
          <w:rFonts w:hint="eastAsia"/>
        </w:rPr>
        <w:t>1</w:t>
      </w:r>
      <w:r>
        <w:t>.</w:t>
      </w:r>
      <w:r>
        <w:rPr>
          <w:rFonts w:hint="eastAsia"/>
        </w:rPr>
        <w:t>评价原则</w:t>
      </w:r>
      <w:bookmarkEnd w:id="20"/>
    </w:p>
    <w:p>
      <w:pPr>
        <w:spacing w:line="600" w:lineRule="exact"/>
        <w:ind w:firstLine="640"/>
        <w:rPr>
          <w:rFonts w:ascii="仿宋_GB2312"/>
          <w:bCs/>
          <w:sz w:val="32"/>
          <w:szCs w:val="32"/>
        </w:rPr>
      </w:pPr>
      <w:r>
        <w:rPr>
          <w:rFonts w:hint="eastAsia" w:ascii="仿宋_GB2312"/>
          <w:bCs/>
          <w:sz w:val="32"/>
          <w:szCs w:val="32"/>
        </w:rPr>
        <w:t>（一）科学公正。绩效评价应当运用科学合理的方法，按照规范的程序，对项目绩效进行客观、公正的反映。</w:t>
      </w:r>
    </w:p>
    <w:p>
      <w:pPr>
        <w:spacing w:line="600" w:lineRule="exact"/>
        <w:ind w:firstLine="640"/>
        <w:rPr>
          <w:rFonts w:ascii="仿宋_GB2312"/>
          <w:bCs/>
          <w:sz w:val="32"/>
          <w:szCs w:val="32"/>
        </w:rPr>
      </w:pPr>
      <w:r>
        <w:rPr>
          <w:rFonts w:hint="eastAsia" w:ascii="仿宋_GB2312"/>
          <w:bCs/>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600" w:lineRule="exact"/>
        <w:ind w:firstLine="640"/>
        <w:rPr>
          <w:rFonts w:ascii="仿宋_GB2312"/>
          <w:bCs/>
          <w:sz w:val="32"/>
          <w:szCs w:val="32"/>
        </w:rPr>
      </w:pPr>
      <w:r>
        <w:rPr>
          <w:rFonts w:hint="eastAsia" w:ascii="仿宋_GB2312"/>
          <w:bCs/>
          <w:sz w:val="32"/>
          <w:szCs w:val="32"/>
        </w:rPr>
        <w:t>（三）激励约束。绩效评价结果应与预算安排、政策调整、改进管理实质性挂钩，体现奖优罚劣和激励相容导向，有效要安排、低效要压减、无效要问责。</w:t>
      </w:r>
    </w:p>
    <w:p>
      <w:pPr>
        <w:spacing w:line="600" w:lineRule="exact"/>
        <w:ind w:firstLine="640"/>
        <w:rPr>
          <w:rFonts w:ascii="仿宋_GB2312"/>
          <w:bCs/>
          <w:sz w:val="32"/>
          <w:szCs w:val="32"/>
        </w:rPr>
      </w:pPr>
      <w:r>
        <w:rPr>
          <w:rFonts w:hint="eastAsia" w:ascii="仿宋_GB2312"/>
          <w:bCs/>
          <w:sz w:val="32"/>
          <w:szCs w:val="32"/>
        </w:rPr>
        <w:t>（四）公开透明。绩效评价结果应依法依规公开，并自觉接受社会监督。</w:t>
      </w:r>
    </w:p>
    <w:p>
      <w:pPr>
        <w:pStyle w:val="4"/>
        <w:ind w:firstLine="643"/>
      </w:pPr>
      <w:bookmarkStart w:id="21" w:name="_Toc165277233"/>
      <w:r>
        <w:t>2.</w:t>
      </w:r>
      <w:r>
        <w:rPr>
          <w:rFonts w:hint="eastAsia"/>
        </w:rPr>
        <w:t>评价指标体系</w:t>
      </w:r>
      <w:bookmarkEnd w:id="21"/>
    </w:p>
    <w:p>
      <w:pPr>
        <w:spacing w:line="360" w:lineRule="auto"/>
        <w:ind w:firstLine="560"/>
        <w:rPr>
          <w:rFonts w:ascii="仿宋_GB2312"/>
        </w:rPr>
      </w:pPr>
      <w:r>
        <w:rPr>
          <w:rFonts w:hint="eastAsia" w:ascii="仿宋_GB2312"/>
        </w:rPr>
        <w:t>绩效评价指标体系作为衡量绩效目标实现程度的考核工具，一般遵循以下原则：</w:t>
      </w:r>
    </w:p>
    <w:p>
      <w:pPr>
        <w:spacing w:line="360" w:lineRule="auto"/>
        <w:ind w:firstLine="560"/>
        <w:rPr>
          <w:rFonts w:ascii="仿宋_GB2312"/>
        </w:rPr>
      </w:pPr>
      <w:r>
        <w:rPr>
          <w:rFonts w:hint="eastAsia" w:ascii="仿宋_GB2312"/>
        </w:rPr>
        <w:t>（1）相关性原则：绩效评价指标应当与绩效目标有直接的联系，能够恰当反映目标的实现程度。</w:t>
      </w:r>
    </w:p>
    <w:p>
      <w:pPr>
        <w:spacing w:line="360" w:lineRule="auto"/>
        <w:ind w:firstLine="560"/>
        <w:rPr>
          <w:rFonts w:ascii="仿宋_GB2312"/>
        </w:rPr>
      </w:pPr>
      <w:r>
        <w:rPr>
          <w:rFonts w:hint="eastAsia" w:ascii="仿宋_GB2312"/>
        </w:rPr>
        <w:t>（2）重要性原则：应当优先使用最具评价对象代表性、最能反映评价要求的核心指标。</w:t>
      </w:r>
    </w:p>
    <w:p>
      <w:pPr>
        <w:spacing w:line="360" w:lineRule="auto"/>
        <w:ind w:firstLine="560"/>
        <w:rPr>
          <w:rFonts w:ascii="仿宋_GB2312"/>
        </w:rPr>
      </w:pPr>
      <w:r>
        <w:rPr>
          <w:rFonts w:hint="eastAsia" w:ascii="仿宋_GB2312"/>
        </w:rPr>
        <w:t>（3）可比性原则：对同类评价对象要设定共性的绩效评价指标，以便于评价结果可以相互比较。</w:t>
      </w:r>
    </w:p>
    <w:p>
      <w:pPr>
        <w:spacing w:line="360" w:lineRule="auto"/>
        <w:ind w:firstLine="560"/>
        <w:rPr>
          <w:rFonts w:ascii="仿宋_GB2312"/>
        </w:rPr>
      </w:pPr>
      <w:r>
        <w:rPr>
          <w:rFonts w:hint="eastAsia" w:ascii="仿宋_GB2312"/>
        </w:rPr>
        <w:t>（4）系统性原则：绩效评价指标的设置应当将定量指标与定性指标相结合，能系统反映财政支出所产生的社会效益、经济效益和可持续影响等。</w:t>
      </w:r>
    </w:p>
    <w:p>
      <w:pPr>
        <w:spacing w:line="360" w:lineRule="auto"/>
        <w:ind w:firstLine="560"/>
        <w:rPr>
          <w:rFonts w:ascii="仿宋_GB2312"/>
        </w:rPr>
      </w:pPr>
      <w:r>
        <w:rPr>
          <w:rFonts w:hint="eastAsia" w:ascii="仿宋_GB2312"/>
        </w:rPr>
        <w:t>（5）经济性原则：绩效评价指标设计应当通俗易懂、简便易行，数据的获得应当考虑现实条件和可操作性，符合成本效益原则。</w:t>
      </w:r>
    </w:p>
    <w:p>
      <w:pPr>
        <w:spacing w:line="360" w:lineRule="auto"/>
        <w:ind w:firstLine="560"/>
        <w:rPr>
          <w:rFonts w:ascii="仿宋_GB2312"/>
          <w:highlight w:val="none"/>
        </w:rPr>
      </w:pPr>
      <w:r>
        <w:rPr>
          <w:rFonts w:hint="eastAsia" w:ascii="仿宋_GB2312"/>
          <w:highlight w:val="none"/>
        </w:rPr>
        <w:t>本项目的评价指标体系建立如下表所示。</w:t>
      </w:r>
    </w:p>
    <w:p>
      <w:pPr>
        <w:spacing w:line="360" w:lineRule="auto"/>
        <w:ind w:left="0" w:leftChars="0" w:firstLine="0" w:firstLineChars="0"/>
        <w:rPr>
          <w:rFonts w:ascii="仿宋_GB2312"/>
          <w:highlight w:val="none"/>
        </w:rPr>
        <w:sectPr>
          <w:headerReference r:id="rId11" w:type="default"/>
          <w:footerReference r:id="rId12" w:type="default"/>
          <w:footnotePr>
            <w:numFmt w:val="decimalEnclosedCircleChinese"/>
          </w:footnotePr>
          <w:pgSz w:w="11906" w:h="16838"/>
          <w:pgMar w:top="1440" w:right="1800" w:bottom="1440" w:left="1701" w:header="992" w:footer="992" w:gutter="0"/>
          <w:pgNumType w:start="1"/>
          <w:cols w:space="425" w:num="1"/>
          <w:docGrid w:type="lines" w:linePitch="381" w:charSpace="0"/>
        </w:sectPr>
      </w:pPr>
    </w:p>
    <w:tbl>
      <w:tblPr>
        <w:tblStyle w:val="18"/>
        <w:tblpPr w:leftFromText="180" w:rightFromText="180" w:vertAnchor="page" w:horzAnchor="page" w:tblpX="1468" w:tblpY="7037"/>
        <w:tblOverlap w:val="never"/>
        <w:tblW w:w="95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62"/>
        <w:gridCol w:w="1215"/>
        <w:gridCol w:w="1273"/>
        <w:gridCol w:w="2465"/>
        <w:gridCol w:w="33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trPr>
        <w:tc>
          <w:tcPr>
            <w:tcW w:w="1262"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1215"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1273"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2465"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指标解释</w:t>
            </w:r>
          </w:p>
        </w:tc>
        <w:tc>
          <w:tcPr>
            <w:tcW w:w="3307"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trPr>
        <w:tc>
          <w:tcPr>
            <w:tcW w:w="1262"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决策</w:t>
            </w:r>
          </w:p>
        </w:tc>
        <w:tc>
          <w:tcPr>
            <w:tcW w:w="121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项目立项</w:t>
            </w: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立项依据</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充分性</w:t>
            </w:r>
          </w:p>
        </w:tc>
        <w:tc>
          <w:tcPr>
            <w:tcW w:w="2465"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项目立项是否符合法律法规、相关政策、发展规划以及部门职责，用以反映和考核项目立项依据情况。</w:t>
            </w:r>
          </w:p>
        </w:tc>
        <w:tc>
          <w:tcPr>
            <w:tcW w:w="3307" w:type="dxa"/>
            <w:tcBorders>
              <w:tl2br w:val="nil"/>
              <w:tr2bl w:val="nil"/>
            </w:tcBorders>
            <w:shd w:val="clear" w:color="auto" w:fill="FFFFFF"/>
            <w:vAlign w:val="center"/>
          </w:tcPr>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①项目立项是否符合国家法律法规、国民经济发展规划和相</w:t>
            </w:r>
          </w:p>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关政策；</w:t>
            </w:r>
          </w:p>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②项目立项是否符合行业发展规划和政策要求；</w:t>
            </w:r>
          </w:p>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③项目立项是否与部门职责范围相符，属于部门履职所需；</w:t>
            </w:r>
          </w:p>
          <w:p>
            <w:pPr>
              <w:widowControl/>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④项目是否属于公共财政支持范围，是否符合中央、地方事权支出责任划</w:t>
            </w:r>
          </w:p>
          <w:p>
            <w:pPr>
              <w:widowControl/>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分原则；⑤项目是否与相关部门同类项目或部门内部相关项目重复。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trPr>
        <w:tc>
          <w:tcPr>
            <w:tcW w:w="1262"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rPr>
            </w:pPr>
          </w:p>
        </w:tc>
        <w:tc>
          <w:tcPr>
            <w:tcW w:w="121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立项程序</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规范性</w:t>
            </w:r>
          </w:p>
        </w:tc>
        <w:tc>
          <w:tcPr>
            <w:tcW w:w="2465"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项目申请、设立过程是否符合相关要求，用以反映和考核项目立项的规范情况。</w:t>
            </w:r>
          </w:p>
        </w:tc>
        <w:tc>
          <w:tcPr>
            <w:tcW w:w="3307" w:type="dxa"/>
            <w:tcBorders>
              <w:tl2br w:val="nil"/>
              <w:tr2bl w:val="nil"/>
            </w:tcBorders>
            <w:shd w:val="clear" w:color="auto" w:fill="FFFFFF"/>
            <w:vAlign w:val="center"/>
          </w:tcPr>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①项目是否按照规定的程序申请设立；</w:t>
            </w:r>
          </w:p>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②审批文件、材料是否符合相关要求；</w:t>
            </w:r>
          </w:p>
          <w:p>
            <w:pPr>
              <w:widowControl/>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③事前是否已经过必要的可行性研究、专家论证、风险评估、绩效评估、</w:t>
            </w:r>
          </w:p>
          <w:p>
            <w:pPr>
              <w:widowControl/>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trPr>
        <w:tc>
          <w:tcPr>
            <w:tcW w:w="1262"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rPr>
            </w:pPr>
          </w:p>
        </w:tc>
        <w:tc>
          <w:tcPr>
            <w:tcW w:w="121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绩效目标</w:t>
            </w: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绩效目标</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合理性</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项目所设定的绩效目标是否依据充分，是否符合客观实际，用以反映和考核项目绩效目标与项目实施的相符情况。</w:t>
            </w:r>
          </w:p>
        </w:tc>
        <w:tc>
          <w:tcPr>
            <w:tcW w:w="3307" w:type="dxa"/>
            <w:tcBorders>
              <w:tl2br w:val="nil"/>
              <w:tr2bl w:val="nil"/>
            </w:tcBorders>
            <w:shd w:val="clear" w:color="000000" w:fill="FFFFFF"/>
            <w:vAlign w:val="center"/>
          </w:tcPr>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（如未设定预算绩效目标，也可考核其他工作任务目标）</w:t>
            </w:r>
          </w:p>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①项目是否有绩效目标；</w:t>
            </w:r>
          </w:p>
          <w:p>
            <w:pPr>
              <w:widowControl/>
              <w:ind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②项目绩效目标与实际工作内容是否具有相关性；</w:t>
            </w:r>
          </w:p>
          <w:p>
            <w:pPr>
              <w:widowControl/>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③项目预期产出效益和效果是否符合正常的业绩水平；</w:t>
            </w:r>
          </w:p>
          <w:p>
            <w:pPr>
              <w:widowControl/>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trPr>
        <w:tc>
          <w:tcPr>
            <w:tcW w:w="1262" w:type="dxa"/>
            <w:vMerge w:val="restart"/>
            <w:tcBorders>
              <w:tl2br w:val="nil"/>
              <w:tr2bl w:val="nil"/>
            </w:tcBorders>
            <w:shd w:val="clear" w:color="auto" w:fill="FFFFFF"/>
            <w:vAlign w:val="center"/>
          </w:tcPr>
          <w:p>
            <w:pPr>
              <w:widowControl/>
              <w:ind w:right="2752" w:rightChars="983"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决策</w:t>
            </w:r>
            <w:r>
              <w:rPr>
                <w:rFonts w:hint="eastAsia" w:ascii="宋体" w:hAnsi="宋体" w:eastAsia="宋体" w:cs="宋体"/>
                <w:color w:val="000000"/>
                <w:kern w:val="0"/>
                <w:sz w:val="21"/>
                <w:szCs w:val="21"/>
                <w:lang w:val="en-US" w:eastAsia="zh-CN"/>
              </w:rPr>
              <w:t xml:space="preserve">           </w:t>
            </w:r>
          </w:p>
        </w:tc>
        <w:tc>
          <w:tcPr>
            <w:tcW w:w="121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绩效目标</w:t>
            </w: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绩效指标</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明确性</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依据绩效目标设定的绩效指标是否清晰、细化、可衡量等，用以反映和考核项目绩效目标的明细化情况。</w:t>
            </w:r>
          </w:p>
        </w:tc>
        <w:tc>
          <w:tcPr>
            <w:tcW w:w="3307" w:type="dxa"/>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①是否将项目绩效目标细化分解为具体的绩效指标；</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②是否通过清晰、可衡量的指标值予以体现；</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③是否与项目目标任务数或计划数相对应。</w:t>
            </w:r>
          </w:p>
          <w:p>
            <w:pPr>
              <w:pStyle w:val="4"/>
              <w:rPr>
                <w:rFonts w:hint="eastAsia"/>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trPr>
        <w:tc>
          <w:tcPr>
            <w:tcW w:w="1262"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rPr>
            </w:pPr>
          </w:p>
        </w:tc>
        <w:tc>
          <w:tcPr>
            <w:tcW w:w="121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资金投入</w:t>
            </w: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预算编制</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科学性</w:t>
            </w:r>
          </w:p>
        </w:tc>
        <w:tc>
          <w:tcPr>
            <w:tcW w:w="2465"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项目预算编制是否经过科学论证、有明确标准，资金额度与年度目标是否相适应，用以反映和考核项目预算编制的科学性、合理性情况。</w:t>
            </w:r>
          </w:p>
        </w:tc>
        <w:tc>
          <w:tcPr>
            <w:tcW w:w="3307" w:type="dxa"/>
            <w:tcBorders>
              <w:tl2br w:val="nil"/>
              <w:tr2bl w:val="nil"/>
            </w:tcBorders>
            <w:shd w:val="clear" w:color="auto" w:fill="FFFFFF"/>
            <w:vAlign w:val="center"/>
          </w:tcPr>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①预算编制是否经过科学论证；</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②预算内容与项目内容是否匹配；</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③预算额度测算依据是否充分，是否按照标准编制；</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trPr>
        <w:tc>
          <w:tcPr>
            <w:tcW w:w="1262"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p>
        </w:tc>
        <w:tc>
          <w:tcPr>
            <w:tcW w:w="121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资金分配</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合理性</w:t>
            </w:r>
          </w:p>
        </w:tc>
        <w:tc>
          <w:tcPr>
            <w:tcW w:w="2465"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项目预算资金分配是否有测算依据，与补助单位或地方实际是否相适应，用以反映和考核项目预算资金分配的科学性、合理性情况。</w:t>
            </w:r>
          </w:p>
        </w:tc>
        <w:tc>
          <w:tcPr>
            <w:tcW w:w="3307" w:type="dxa"/>
            <w:tcBorders>
              <w:tl2br w:val="nil"/>
              <w:tr2bl w:val="nil"/>
            </w:tcBorders>
            <w:shd w:val="clear" w:color="auto" w:fill="FFFFFF"/>
            <w:vAlign w:val="center"/>
          </w:tcPr>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①预算资金分配依据是否充分；</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trPr>
        <w:tc>
          <w:tcPr>
            <w:tcW w:w="1262" w:type="dxa"/>
            <w:vMerge w:val="restart"/>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过程</w:t>
            </w:r>
          </w:p>
        </w:tc>
        <w:tc>
          <w:tcPr>
            <w:tcW w:w="121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资金管理</w:t>
            </w: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资金到位率</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实际到位资金与预算资金的比率，用以反映和考核资金落实情况对项目实施的总体保障程度。</w:t>
            </w:r>
          </w:p>
        </w:tc>
        <w:tc>
          <w:tcPr>
            <w:tcW w:w="3307"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资金到位率=（实际到位资金/预算资金）×100%。</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实际到位资金：一定时期（本年度或项目期）内落实到具体项目的资金。</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trPr>
        <w:tc>
          <w:tcPr>
            <w:tcW w:w="1262"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rPr>
            </w:pPr>
          </w:p>
        </w:tc>
        <w:tc>
          <w:tcPr>
            <w:tcW w:w="121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rPr>
            </w:pP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预算执行率</w:t>
            </w:r>
          </w:p>
        </w:tc>
        <w:tc>
          <w:tcPr>
            <w:tcW w:w="2465"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项目预算资金是否按照计划执行，用以反映或考核项目预算执行情况。</w:t>
            </w:r>
          </w:p>
        </w:tc>
        <w:tc>
          <w:tcPr>
            <w:tcW w:w="3307" w:type="dxa"/>
            <w:tcBorders>
              <w:tl2br w:val="nil"/>
              <w:tr2bl w:val="nil"/>
            </w:tcBorders>
            <w:shd w:val="clear" w:color="auto" w:fill="FFFFFF"/>
            <w:vAlign w:val="center"/>
          </w:tcPr>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预算执行率=（实际支出资金/实际到位资金）×100%。</w:t>
            </w:r>
          </w:p>
          <w:p>
            <w:pPr>
              <w:widowControl/>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实际支出资金：一定时期（本年度或项目期）内项目实际</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trPr>
        <w:tc>
          <w:tcPr>
            <w:tcW w:w="1262" w:type="dxa"/>
            <w:vMerge w:val="restart"/>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过程</w:t>
            </w:r>
          </w:p>
        </w:tc>
        <w:tc>
          <w:tcPr>
            <w:tcW w:w="121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资金管理</w:t>
            </w: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资金使用</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合规性</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项目资金使用是否符合相关的财务管理制度规定，用以反映和考核项目资金的规范运行情况。</w:t>
            </w:r>
          </w:p>
        </w:tc>
        <w:tc>
          <w:tcPr>
            <w:tcW w:w="3307" w:type="dxa"/>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①是否符合国家财经法规和财务管理制度以及有关专项资</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金管理办法的规定；</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②资金的拨付是否有完整的审批程序和手续；</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③是否符合项目预算批复或合同规定的用途；</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trPr>
        <w:tc>
          <w:tcPr>
            <w:tcW w:w="1262"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rPr>
            </w:pPr>
          </w:p>
        </w:tc>
        <w:tc>
          <w:tcPr>
            <w:tcW w:w="121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组织实施</w:t>
            </w: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管理制度</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健全性</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项目实施单位的财务和业务管理制度是否健全，用以反映和考核财务和业务管理制度对项目顺利实施的保障情况。</w:t>
            </w:r>
          </w:p>
        </w:tc>
        <w:tc>
          <w:tcPr>
            <w:tcW w:w="3307" w:type="dxa"/>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①是否已制定或具有相应的财务和业务管理制度；</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trPr>
        <w:tc>
          <w:tcPr>
            <w:tcW w:w="1262"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p>
        </w:tc>
        <w:tc>
          <w:tcPr>
            <w:tcW w:w="121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制度执行</w:t>
            </w:r>
          </w:p>
          <w:p>
            <w:pPr>
              <w:widowControl/>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有效性</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项目实施是否符合相关管理规定，用以反映和考核相关管理制度的有效执行情况。</w:t>
            </w:r>
          </w:p>
        </w:tc>
        <w:tc>
          <w:tcPr>
            <w:tcW w:w="3307" w:type="dxa"/>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评价要点：</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①是否遵守相关法律法规和相关管理规定；</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②项目调整及支出调整手续是否完备；</w:t>
            </w:r>
          </w:p>
          <w:p>
            <w:pPr>
              <w:widowControl/>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③项目合同书、验收报告、技术鉴定等资料是否齐全并及时</w:t>
            </w:r>
          </w:p>
          <w:p>
            <w:pPr>
              <w:widowControl/>
              <w:ind w:firstLine="0" w:firstLine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归档；</w:t>
            </w:r>
          </w:p>
          <w:p>
            <w:pPr>
              <w:widowControl/>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④项目实施的人员条件、场地设备、信息支撑等是否落实到</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1262"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产出</w:t>
            </w:r>
          </w:p>
        </w:tc>
        <w:tc>
          <w:tcPr>
            <w:tcW w:w="121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产出数量</w:t>
            </w:r>
          </w:p>
        </w:tc>
        <w:tc>
          <w:tcPr>
            <w:tcW w:w="1273" w:type="dxa"/>
            <w:tcBorders>
              <w:tl2br w:val="nil"/>
              <w:tr2bl w:val="nil"/>
            </w:tcBorders>
            <w:shd w:val="clear" w:color="auto" w:fill="FFFFFF"/>
          </w:tcPr>
          <w:p>
            <w:pPr>
              <w:widowControl/>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赴基层演出场次</w:t>
            </w:r>
          </w:p>
        </w:tc>
        <w:tc>
          <w:tcPr>
            <w:tcW w:w="2465" w:type="dxa"/>
            <w:vMerge w:val="restart"/>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项目实施的实际产出数与计划产出数的比率，用以反映和考核项目产出数量目标的实现程度。</w:t>
            </w:r>
          </w:p>
        </w:tc>
        <w:tc>
          <w:tcPr>
            <w:tcW w:w="3307" w:type="dxa"/>
            <w:vMerge w:val="restart"/>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实际完成率=（实际产出数/计划产出数）×100%。</w:t>
            </w:r>
          </w:p>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实际产出数：一定时期（本年度或项目期）内项目实际产出</w:t>
            </w:r>
          </w:p>
          <w:p>
            <w:pPr>
              <w:widowControl/>
              <w:ind w:firstLine="0" w:firstLine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的产品或提供的服务数量。</w:t>
            </w:r>
          </w:p>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计划产出数：项目绩效目标确定的在一定时期（本年度或</w:t>
            </w:r>
          </w:p>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1262"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p>
        </w:tc>
        <w:tc>
          <w:tcPr>
            <w:tcW w:w="121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p>
        </w:tc>
        <w:tc>
          <w:tcPr>
            <w:tcW w:w="1273" w:type="dxa"/>
            <w:tcBorders>
              <w:tl2br w:val="nil"/>
              <w:tr2bl w:val="nil"/>
            </w:tcBorders>
            <w:shd w:val="clear" w:color="auto" w:fill="FFFFFF"/>
          </w:tcPr>
          <w:p>
            <w:pPr>
              <w:widowControl/>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驻场演出场次</w:t>
            </w:r>
          </w:p>
        </w:tc>
        <w:tc>
          <w:tcPr>
            <w:tcW w:w="2465"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p>
        </w:tc>
        <w:tc>
          <w:tcPr>
            <w:tcW w:w="3307"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1262"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p>
        </w:tc>
        <w:tc>
          <w:tcPr>
            <w:tcW w:w="121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p>
        </w:tc>
        <w:tc>
          <w:tcPr>
            <w:tcW w:w="1273" w:type="dxa"/>
            <w:tcBorders>
              <w:tl2br w:val="nil"/>
              <w:tr2bl w:val="nil"/>
            </w:tcBorders>
            <w:shd w:val="clear" w:color="auto" w:fill="FFFFFF"/>
          </w:tcPr>
          <w:p>
            <w:pPr>
              <w:widowControl/>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惠民演出场次</w:t>
            </w:r>
          </w:p>
        </w:tc>
        <w:tc>
          <w:tcPr>
            <w:tcW w:w="2465"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p>
        </w:tc>
        <w:tc>
          <w:tcPr>
            <w:tcW w:w="3307"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trPr>
        <w:tc>
          <w:tcPr>
            <w:tcW w:w="1262"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产出</w:t>
            </w:r>
          </w:p>
        </w:tc>
        <w:tc>
          <w:tcPr>
            <w:tcW w:w="121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产出质量</w:t>
            </w:r>
          </w:p>
        </w:tc>
        <w:tc>
          <w:tcPr>
            <w:tcW w:w="1273" w:type="dxa"/>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演出质量完成率</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项目完成的质量达标产出数与实际产出数的比率，用以反映和考核项目产出质量目标的实现程度。</w:t>
            </w:r>
          </w:p>
        </w:tc>
        <w:tc>
          <w:tcPr>
            <w:tcW w:w="3307"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质量达标率=（质量达标产出数/实际产出数）×100%。</w:t>
            </w:r>
          </w:p>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质量达标产出数：一定时期（本年度或项目期）内实际达</w:t>
            </w:r>
          </w:p>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到既定质量标准的产品或服务数量。既定质量标准是指项</w:t>
            </w:r>
          </w:p>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目实施单位设立绩效目标时依据计划标准、行业标准、历</w:t>
            </w:r>
          </w:p>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trPr>
        <w:tc>
          <w:tcPr>
            <w:tcW w:w="1262"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highlight w:val="yellow"/>
              </w:rPr>
            </w:pPr>
          </w:p>
        </w:tc>
        <w:tc>
          <w:tcPr>
            <w:tcW w:w="1215" w:type="dxa"/>
            <w:vMerge w:val="restart"/>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产出时效</w:t>
            </w:r>
          </w:p>
        </w:tc>
        <w:tc>
          <w:tcPr>
            <w:tcW w:w="1273" w:type="dxa"/>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演出完成时间</w:t>
            </w:r>
          </w:p>
        </w:tc>
        <w:tc>
          <w:tcPr>
            <w:tcW w:w="2465" w:type="dxa"/>
            <w:vMerge w:val="restart"/>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项目实际完成时间与计划完成时间的比较，用以反映和考核项目产出时效目标的实现程度。</w:t>
            </w:r>
          </w:p>
        </w:tc>
        <w:tc>
          <w:tcPr>
            <w:tcW w:w="3307" w:type="dxa"/>
            <w:vMerge w:val="restart"/>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实际完成时间：项目实施单位完成该项目实际所耗用的时间。</w:t>
            </w:r>
          </w:p>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计划完成时间：按照项目实施计划或相关规定完成该项目</w:t>
            </w:r>
          </w:p>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trPr>
        <w:tc>
          <w:tcPr>
            <w:tcW w:w="1262"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highlight w:val="yellow"/>
              </w:rPr>
            </w:pPr>
          </w:p>
        </w:tc>
        <w:tc>
          <w:tcPr>
            <w:tcW w:w="121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1"/>
                <w:szCs w:val="21"/>
                <w:highlight w:val="none"/>
              </w:rPr>
            </w:pP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p>
        </w:tc>
        <w:tc>
          <w:tcPr>
            <w:tcW w:w="2465"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p>
        </w:tc>
        <w:tc>
          <w:tcPr>
            <w:tcW w:w="3307"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trPr>
        <w:tc>
          <w:tcPr>
            <w:tcW w:w="1262"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rPr>
            </w:pPr>
          </w:p>
        </w:tc>
        <w:tc>
          <w:tcPr>
            <w:tcW w:w="121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产出成本</w:t>
            </w:r>
          </w:p>
        </w:tc>
        <w:tc>
          <w:tcPr>
            <w:tcW w:w="1273" w:type="dxa"/>
            <w:tcBorders>
              <w:tl2br w:val="nil"/>
              <w:tr2bl w:val="nil"/>
            </w:tcBorders>
            <w:shd w:val="clear" w:color="auto" w:fill="FFFFFF"/>
            <w:vAlign w:val="center"/>
          </w:tcPr>
          <w:p>
            <w:pPr>
              <w:widowControl/>
              <w:ind w:firstLine="0"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项目预算控制率</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完成项目计划工作目标的实际节约成本与计划成本的比率，用以反映和考核项目的成本节约程度。</w:t>
            </w:r>
          </w:p>
        </w:tc>
        <w:tc>
          <w:tcPr>
            <w:tcW w:w="3307" w:type="dxa"/>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1"/>
                <w:szCs w:val="21"/>
                <w:highlight w:val="none"/>
                <w:lang w:eastAsia="zh-CN"/>
              </w:rPr>
            </w:pPr>
          </w:p>
          <w:p>
            <w:pPr>
              <w:widowControl/>
              <w:ind w:firstLine="0" w:firstLine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成本节约率=[（计划成本-实际成本）/计划成本]×100%。</w:t>
            </w:r>
          </w:p>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实际成本：项目实施单位如期、保质、保量完成既定工作目</w:t>
            </w:r>
          </w:p>
          <w:p>
            <w:pPr>
              <w:widowControl/>
              <w:ind w:firstLine="0" w:firstLine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标实际所耗费的支出。</w:t>
            </w:r>
          </w:p>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计划成本：项目实施单位为完成工作目标计划安排的支出</w:t>
            </w:r>
          </w:p>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trPr>
        <w:tc>
          <w:tcPr>
            <w:tcW w:w="1262"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效益</w:t>
            </w:r>
          </w:p>
        </w:tc>
        <w:tc>
          <w:tcPr>
            <w:tcW w:w="121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社会效益指标</w:t>
            </w:r>
          </w:p>
        </w:tc>
        <w:tc>
          <w:tcPr>
            <w:tcW w:w="1273"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Style w:val="22"/>
                <w:rFonts w:hint="eastAsia" w:ascii="仿宋_GB2312" w:hAnsi="仿宋_GB2312" w:cs="仿宋_GB2312"/>
                <w:sz w:val="21"/>
                <w:szCs w:val="21"/>
                <w:highlight w:val="none"/>
                <w:lang w:val="en-US" w:eastAsia="zh-CN"/>
              </w:rPr>
              <w:t>丰富和活跃地方群众文化生活，完成好政府交办的民生实事，让基层百姓共享文化成果，使人民基本文化权益得到更好的保障</w:t>
            </w:r>
          </w:p>
        </w:tc>
        <w:tc>
          <w:tcPr>
            <w:tcW w:w="2465" w:type="dxa"/>
            <w:vMerge w:val="restart"/>
            <w:tcBorders>
              <w:tl2br w:val="nil"/>
              <w:tr2bl w:val="nil"/>
            </w:tcBorders>
            <w:shd w:val="clear" w:color="auto" w:fill="FFFFFF"/>
            <w:vAlign w:val="center"/>
          </w:tcPr>
          <w:p>
            <w:pPr>
              <w:widowControl/>
              <w:ind w:firstLine="0" w:firstLineChars="0"/>
              <w:jc w:val="left"/>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项目实施所产生的效益。</w:t>
            </w:r>
          </w:p>
        </w:tc>
        <w:tc>
          <w:tcPr>
            <w:tcW w:w="3307" w:type="dxa"/>
            <w:tcBorders>
              <w:tl2br w:val="nil"/>
              <w:tr2bl w:val="nil"/>
            </w:tcBorders>
            <w:shd w:val="clear" w:color="auto" w:fill="FFFFFF"/>
            <w:vAlign w:val="center"/>
          </w:tcPr>
          <w:p>
            <w:pPr>
              <w:widowControl/>
              <w:ind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项目实施所产生的社会效益、经济效益、生态效益、可持</w:t>
            </w:r>
          </w:p>
          <w:p>
            <w:pPr>
              <w:widowControl/>
              <w:ind w:firstLine="0" w:firstLineChars="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rPr>
        <w:tc>
          <w:tcPr>
            <w:tcW w:w="1262"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p>
        </w:tc>
        <w:tc>
          <w:tcPr>
            <w:tcW w:w="121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red"/>
              </w:rPr>
            </w:pPr>
          </w:p>
        </w:tc>
        <w:tc>
          <w:tcPr>
            <w:tcW w:w="1273"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red"/>
              </w:rPr>
            </w:pPr>
          </w:p>
        </w:tc>
        <w:tc>
          <w:tcPr>
            <w:tcW w:w="2465"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red"/>
              </w:rPr>
            </w:pPr>
          </w:p>
        </w:tc>
        <w:tc>
          <w:tcPr>
            <w:tcW w:w="3307"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highlight w:val="re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rPr>
        <w:tc>
          <w:tcPr>
            <w:tcW w:w="1262"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ascii="宋体" w:hAnsi="宋体" w:eastAsia="宋体" w:cs="宋体"/>
                <w:color w:val="000000"/>
                <w:kern w:val="0"/>
                <w:sz w:val="21"/>
                <w:szCs w:val="21"/>
                <w:highlight w:val="none"/>
              </w:rPr>
              <w:t>满意度指标完成情况分析</w:t>
            </w:r>
          </w:p>
        </w:tc>
        <w:tc>
          <w:tcPr>
            <w:tcW w:w="121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满意度指标</w:t>
            </w:r>
          </w:p>
        </w:tc>
        <w:tc>
          <w:tcPr>
            <w:tcW w:w="127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群众满意度</w:t>
            </w:r>
          </w:p>
        </w:tc>
        <w:tc>
          <w:tcPr>
            <w:tcW w:w="2465"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社会公众或服务对象对项目实施效果的满意程度。</w:t>
            </w:r>
          </w:p>
        </w:tc>
        <w:tc>
          <w:tcPr>
            <w:tcW w:w="3307" w:type="dxa"/>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社会公众或服务对象是指因该项目实施而受到影响的部门（单</w:t>
            </w:r>
          </w:p>
          <w:p>
            <w:pPr>
              <w:widowControl/>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位）、群体或个人。一般采取社会调查的方式。</w:t>
            </w:r>
          </w:p>
        </w:tc>
      </w:tr>
    </w:tbl>
    <w:p>
      <w:pPr>
        <w:spacing w:line="360" w:lineRule="auto"/>
        <w:ind w:firstLine="0" w:firstLineChars="0"/>
        <w:jc w:val="center"/>
        <w:rPr>
          <w:rFonts w:ascii="仿宋_GB2312"/>
          <w:b/>
          <w:bCs/>
        </w:rPr>
      </w:pPr>
      <w:r>
        <w:rPr>
          <w:rFonts w:ascii="仿宋_GB2312"/>
          <w:b/>
          <w:bCs/>
        </w:rPr>
        <w:t xml:space="preserve">  </w:t>
      </w:r>
      <w:r>
        <w:rPr>
          <w:rFonts w:hint="eastAsia" w:ascii="仿宋_GB2312"/>
          <w:b/>
          <w:bCs/>
        </w:rPr>
        <w:t>项目支出绩效评价指标体系</w:t>
      </w:r>
    </w:p>
    <w:p>
      <w:pPr>
        <w:ind w:firstLine="0" w:firstLineChars="0"/>
        <w:jc w:val="both"/>
        <w:rPr>
          <w:rFonts w:ascii="仿宋_GB2312"/>
          <w:sz w:val="21"/>
          <w:szCs w:val="21"/>
        </w:rPr>
      </w:pPr>
    </w:p>
    <w:p>
      <w:pPr>
        <w:pStyle w:val="4"/>
        <w:ind w:firstLine="643"/>
      </w:pPr>
      <w:bookmarkStart w:id="22" w:name="_Toc165277234"/>
      <w:bookmarkStart w:id="23" w:name="_Hlk67586038"/>
      <w:r>
        <w:t>3.</w:t>
      </w:r>
      <w:r>
        <w:rPr>
          <w:rFonts w:hint="eastAsia"/>
        </w:rPr>
        <w:t>评价方法</w:t>
      </w:r>
      <w:bookmarkEnd w:id="22"/>
    </w:p>
    <w:bookmarkEnd w:id="23"/>
    <w:p>
      <w:pPr>
        <w:spacing w:line="360" w:lineRule="auto"/>
        <w:ind w:firstLine="560"/>
        <w:rPr>
          <w:rFonts w:ascii="仿宋_GB2312"/>
        </w:rPr>
      </w:pPr>
      <w:r>
        <w:rPr>
          <w:rFonts w:hint="eastAsia" w:ascii="仿宋_GB2312"/>
        </w:rPr>
        <w:t>《关于印发&lt;项目支出绩效评价管理办法&gt;的通知》（财预〔2020〕10号）文件指出部门评价的方法主要包括成本效益分析法、比较法、因素分析法、最低成本法、公众评判法、标杆管理法等。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ascii="仿宋_GB2312"/>
        </w:rPr>
      </w:pPr>
      <w:r>
        <w:rPr>
          <w:rFonts w:hint="eastAsia" w:ascii="仿宋_GB2312"/>
        </w:rPr>
        <w:t>（1）成本效益分析法。是指将投入与产出、效益进行关联性分析的方法。</w:t>
      </w:r>
    </w:p>
    <w:p>
      <w:pPr>
        <w:spacing w:line="360" w:lineRule="auto"/>
        <w:ind w:firstLine="560"/>
        <w:rPr>
          <w:rFonts w:ascii="仿宋_GB2312"/>
        </w:rPr>
      </w:pPr>
      <w:r>
        <w:rPr>
          <w:rFonts w:hint="eastAsia" w:ascii="仿宋_GB2312"/>
        </w:rPr>
        <w:t>（2）比较法。是指将实施情况与绩效目标、历史情况、不同部门和地区同类支出情况进行比较的方法。</w:t>
      </w:r>
    </w:p>
    <w:p>
      <w:pPr>
        <w:spacing w:line="360" w:lineRule="auto"/>
        <w:ind w:firstLine="560"/>
        <w:rPr>
          <w:rFonts w:ascii="仿宋_GB2312"/>
        </w:rPr>
      </w:pPr>
      <w:r>
        <w:rPr>
          <w:rFonts w:hint="eastAsia" w:ascii="仿宋_GB2312"/>
        </w:rPr>
        <w:t>（3）因素分析法。是指综合分析影响绩效目标实现、实施效果的内外部因素的方法。</w:t>
      </w:r>
    </w:p>
    <w:p>
      <w:pPr>
        <w:spacing w:line="360" w:lineRule="auto"/>
        <w:ind w:firstLine="560"/>
        <w:rPr>
          <w:rFonts w:ascii="仿宋_GB2312"/>
        </w:rPr>
      </w:pPr>
      <w:r>
        <w:rPr>
          <w:rFonts w:hint="eastAsia" w:ascii="仿宋_GB2312"/>
        </w:rPr>
        <w:t>（4）最低成本法。是指在绩效目标确定的前提下，成本最小者为优的方法。</w:t>
      </w:r>
    </w:p>
    <w:p>
      <w:pPr>
        <w:spacing w:line="360" w:lineRule="auto"/>
        <w:ind w:firstLine="560"/>
        <w:rPr>
          <w:rFonts w:ascii="仿宋_GB2312"/>
        </w:rPr>
      </w:pPr>
      <w:r>
        <w:rPr>
          <w:rFonts w:hint="eastAsia" w:ascii="仿宋_GB2312"/>
        </w:rPr>
        <w:t>（5）公众评判法。是指通过专家评估、公众问卷及抽样调查等方式进行评判的方法。</w:t>
      </w:r>
    </w:p>
    <w:p>
      <w:pPr>
        <w:spacing w:line="360" w:lineRule="auto"/>
        <w:ind w:firstLine="560"/>
        <w:rPr>
          <w:rFonts w:ascii="仿宋_GB2312"/>
          <w:highlight w:val="none"/>
        </w:rPr>
      </w:pPr>
      <w:r>
        <w:rPr>
          <w:rFonts w:hint="eastAsia" w:ascii="仿宋_GB2312"/>
        </w:rPr>
        <w:t>（6）标杆管理法。是指以国内外同行业中较高的绩效水平为标杆</w:t>
      </w:r>
      <w:r>
        <w:rPr>
          <w:rFonts w:hint="eastAsia" w:ascii="仿宋_GB2312"/>
          <w:highlight w:val="none"/>
        </w:rPr>
        <w:t>进行评判的方法。</w:t>
      </w:r>
    </w:p>
    <w:p>
      <w:pPr>
        <w:spacing w:line="360" w:lineRule="auto"/>
        <w:ind w:firstLine="560"/>
        <w:rPr>
          <w:rFonts w:ascii="仿宋_GB2312"/>
          <w:highlight w:val="none"/>
        </w:rPr>
      </w:pPr>
      <w:r>
        <w:rPr>
          <w:rFonts w:hint="eastAsia" w:ascii="仿宋_GB2312"/>
          <w:highlight w:val="none"/>
        </w:rPr>
        <w:t>（7）其他评价方法。</w:t>
      </w:r>
    </w:p>
    <w:p>
      <w:pPr>
        <w:spacing w:line="360" w:lineRule="auto"/>
        <w:ind w:firstLine="560"/>
        <w:rPr>
          <w:rFonts w:ascii="仿宋_GB2312"/>
          <w:highlight w:val="none"/>
        </w:rPr>
      </w:pPr>
      <w:r>
        <w:rPr>
          <w:rFonts w:hint="eastAsia" w:ascii="仿宋_GB2312"/>
          <w:highlight w:val="none"/>
        </w:rPr>
        <w:t>根据本项目</w:t>
      </w:r>
      <w:r>
        <w:rPr>
          <w:rFonts w:hint="eastAsia" w:ascii="仿宋_GB2312"/>
          <w:highlight w:val="none"/>
          <w:lang w:eastAsia="zh-CN"/>
        </w:rPr>
        <w:t>戏曲公益性演出（戏曲进乡村）</w:t>
      </w:r>
      <w:r>
        <w:rPr>
          <w:rFonts w:hint="eastAsia" w:ascii="仿宋_GB2312"/>
          <w:highlight w:val="none"/>
        </w:rPr>
        <w:t>的特点，本次评价主要采用</w:t>
      </w:r>
      <w:r>
        <w:rPr>
          <w:rFonts w:hint="eastAsia" w:ascii="仿宋_GB2312"/>
          <w:highlight w:val="none"/>
          <w:lang w:val="en-US" w:eastAsia="zh-CN"/>
        </w:rPr>
        <w:t>比较法、因素分析法</w:t>
      </w:r>
      <w:r>
        <w:rPr>
          <w:rFonts w:hint="eastAsia" w:ascii="仿宋_GB2312"/>
          <w:highlight w:val="none"/>
        </w:rPr>
        <w:t>，对项目总预算和明细预算的内容、标准、计划是否经济合理进行深入分析，以考察实际产出和效益是否达到预期。</w:t>
      </w:r>
    </w:p>
    <w:p>
      <w:pPr>
        <w:pStyle w:val="4"/>
        <w:ind w:firstLine="643"/>
        <w:rPr>
          <w:highlight w:val="none"/>
        </w:rPr>
      </w:pPr>
      <w:bookmarkStart w:id="24" w:name="_Toc165277235"/>
      <w:r>
        <w:rPr>
          <w:highlight w:val="none"/>
        </w:rPr>
        <w:t>4.</w:t>
      </w:r>
      <w:r>
        <w:rPr>
          <w:rFonts w:hint="eastAsia"/>
          <w:highlight w:val="none"/>
        </w:rPr>
        <w:t>评价标准</w:t>
      </w:r>
      <w:bookmarkEnd w:id="24"/>
    </w:p>
    <w:p>
      <w:pPr>
        <w:spacing w:line="360" w:lineRule="auto"/>
        <w:ind w:firstLine="560"/>
        <w:rPr>
          <w:rFonts w:ascii="仿宋_GB2312"/>
        </w:rPr>
      </w:pPr>
      <w:r>
        <w:rPr>
          <w:rFonts w:hint="eastAsia" w:ascii="仿宋_GB2312"/>
        </w:rPr>
        <w:t>绩效评价标准主要包括计划标准、行业标准、历史标准等，用于对绩效指标完成情况进行比较。</w:t>
      </w:r>
    </w:p>
    <w:p>
      <w:pPr>
        <w:spacing w:line="360" w:lineRule="auto"/>
        <w:ind w:firstLine="560"/>
        <w:rPr>
          <w:rFonts w:ascii="仿宋_GB2312"/>
        </w:rPr>
      </w:pPr>
      <w:r>
        <w:rPr>
          <w:rFonts w:hint="eastAsia" w:ascii="仿宋_GB2312"/>
        </w:rPr>
        <w:t>（1）计划标准。指以预先制定的目标、计划、预算、定额等作为评价标准。</w:t>
      </w:r>
    </w:p>
    <w:p>
      <w:pPr>
        <w:spacing w:line="360" w:lineRule="auto"/>
        <w:ind w:firstLine="560"/>
        <w:rPr>
          <w:rFonts w:ascii="仿宋_GB2312"/>
        </w:rPr>
      </w:pPr>
      <w:r>
        <w:rPr>
          <w:rFonts w:hint="eastAsia" w:ascii="仿宋_GB2312"/>
        </w:rPr>
        <w:t>（2）行业标准。指参照国家公布的行业指标数据制定的评价标准。</w:t>
      </w:r>
    </w:p>
    <w:p>
      <w:pPr>
        <w:spacing w:line="360" w:lineRule="auto"/>
        <w:ind w:firstLine="560"/>
        <w:rPr>
          <w:rFonts w:ascii="仿宋_GB2312"/>
        </w:rPr>
      </w:pPr>
      <w:r>
        <w:rPr>
          <w:rFonts w:hint="eastAsia" w:ascii="仿宋_GB2312"/>
        </w:rPr>
        <w:t>（3）历史标准。指参照历史数据制定的评价标准，为体现绩效改进的原则，在可实现的条件下应当确定相对较高的评价标准。</w:t>
      </w:r>
    </w:p>
    <w:p>
      <w:pPr>
        <w:spacing w:line="360" w:lineRule="auto"/>
        <w:ind w:firstLine="560"/>
        <w:rPr>
          <w:rFonts w:ascii="仿宋_GB2312"/>
        </w:rPr>
      </w:pPr>
      <w:r>
        <w:rPr>
          <w:rFonts w:hint="eastAsia" w:ascii="仿宋_GB2312"/>
        </w:rPr>
        <w:t>在上述评价标准的基础上，本次评价依据以下文件为重要指导和准绳：</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《中共中央国务院关于全面实施预算绩效管理的意见》（中发〔2018〕34号）</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《关于印发&lt;乌鲁木齐市本级部门预算绩效目标管理暂行办法&gt;的通知》（乌财预〔2018〕56号）</w:t>
      </w:r>
    </w:p>
    <w:p>
      <w:pPr>
        <w:spacing w:line="360" w:lineRule="auto"/>
        <w:ind w:firstLine="560" w:firstLineChars="0"/>
        <w:rPr>
          <w:rFonts w:ascii="仿宋_GB2312"/>
        </w:rPr>
      </w:pPr>
      <w:r>
        <w:rPr>
          <w:rFonts w:hint="eastAsia" w:ascii="黑体" w:hAnsi="黑体" w:eastAsia="黑体" w:cs="Times New Roman"/>
          <w:szCs w:val="28"/>
        </w:rPr>
        <w:t>·</w:t>
      </w:r>
      <w:r>
        <w:rPr>
          <w:rFonts w:hint="eastAsia" w:ascii="仿宋_GB2312"/>
        </w:rPr>
        <w:t>《关于做好2019年部门预算项目支出绩效目标管理有关事宜的通知》（乌财预〔2018〕76号）</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《项目支出绩效评价管理办法》（财预〔2020〕10号）</w:t>
      </w:r>
    </w:p>
    <w:p>
      <w:pPr>
        <w:spacing w:line="360" w:lineRule="auto"/>
        <w:ind w:firstLine="560"/>
        <w:rPr>
          <w:rFonts w:hint="eastAsia" w:ascii="仿宋_GB2312" w:hAnsi="仿宋_GB2312" w:eastAsia="仿宋_GB2312" w:cs="仿宋_GB2312"/>
          <w:color w:val="000000"/>
          <w:spacing w:val="0"/>
          <w:w w:val="100"/>
          <w:position w:val="0"/>
          <w:sz w:val="32"/>
          <w:szCs w:val="32"/>
          <w:highlight w:val="none"/>
          <w:lang w:val="en-US" w:eastAsia="zh-CN"/>
        </w:rPr>
      </w:pPr>
      <w:r>
        <w:rPr>
          <w:rFonts w:ascii="仿宋_GB2312"/>
        </w:rPr>
        <w:t>*</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highlight w:val="none"/>
          <w:lang w:val="en-US" w:eastAsia="zh-CN"/>
        </w:rPr>
        <w:t>关于下达2023年中央补助地方公共文化服务体系建设补助资金预算的通知》下达2023年中央补助地方公共文化服务体系建设补助资金预算项目</w:t>
      </w:r>
      <w:r>
        <w:rPr>
          <w:rFonts w:hint="eastAsia" w:ascii="仿宋_GB2312" w:hAnsi="仿宋_GB2312" w:cs="仿宋_GB2312"/>
          <w:color w:val="000000"/>
          <w:spacing w:val="0"/>
          <w:w w:val="100"/>
          <w:position w:val="0"/>
          <w:sz w:val="32"/>
          <w:szCs w:val="32"/>
          <w:highlight w:val="none"/>
          <w:lang w:val="en-US" w:eastAsia="zh-CN"/>
        </w:rPr>
        <w:t>-戏曲公益性演出（戏曲进乡村）乌财科教</w:t>
      </w:r>
      <w:r>
        <w:rPr>
          <w:rFonts w:hint="eastAsia" w:ascii="仿宋_GB2312" w:hAnsi="仿宋_GB2312" w:eastAsia="仿宋_GB2312" w:cs="仿宋_GB2312"/>
          <w:color w:val="000000"/>
          <w:spacing w:val="0"/>
          <w:w w:val="100"/>
          <w:position w:val="0"/>
          <w:sz w:val="32"/>
          <w:szCs w:val="32"/>
          <w:highlight w:val="none"/>
          <w:lang w:val="en-US" w:eastAsia="zh-CN"/>
        </w:rPr>
        <w:t>〔202</w:t>
      </w:r>
      <w:r>
        <w:rPr>
          <w:rFonts w:hint="eastAsia" w:ascii="仿宋_GB2312" w:hAnsi="仿宋_GB2312" w:cs="仿宋_GB2312"/>
          <w:color w:val="000000"/>
          <w:spacing w:val="0"/>
          <w:w w:val="100"/>
          <w:position w:val="0"/>
          <w:sz w:val="32"/>
          <w:szCs w:val="32"/>
          <w:highlight w:val="none"/>
          <w:lang w:val="en-US" w:eastAsia="zh-CN"/>
        </w:rPr>
        <w:t>3</w:t>
      </w:r>
      <w:r>
        <w:rPr>
          <w:rFonts w:hint="eastAsia" w:ascii="仿宋_GB2312" w:hAnsi="仿宋_GB2312" w:eastAsia="仿宋_GB2312" w:cs="仿宋_GB2312"/>
          <w:color w:val="000000"/>
          <w:spacing w:val="0"/>
          <w:w w:val="100"/>
          <w:position w:val="0"/>
          <w:sz w:val="32"/>
          <w:szCs w:val="32"/>
          <w:highlight w:val="none"/>
          <w:lang w:val="en-US" w:eastAsia="zh-CN"/>
        </w:rPr>
        <w:t>〕</w:t>
      </w:r>
      <w:r>
        <w:rPr>
          <w:rFonts w:hint="eastAsia" w:ascii="仿宋_GB2312" w:hAnsi="仿宋_GB2312" w:cs="仿宋_GB2312"/>
          <w:color w:val="000000"/>
          <w:spacing w:val="0"/>
          <w:w w:val="100"/>
          <w:position w:val="0"/>
          <w:sz w:val="32"/>
          <w:szCs w:val="32"/>
          <w:highlight w:val="none"/>
          <w:lang w:val="en-US" w:eastAsia="zh-CN"/>
        </w:rPr>
        <w:t>3</w:t>
      </w:r>
      <w:r>
        <w:rPr>
          <w:rFonts w:hint="eastAsia" w:ascii="仿宋_GB2312" w:hAnsi="仿宋_GB2312" w:eastAsia="仿宋_GB2312" w:cs="仿宋_GB2312"/>
          <w:color w:val="000000"/>
          <w:spacing w:val="0"/>
          <w:w w:val="100"/>
          <w:position w:val="0"/>
          <w:sz w:val="32"/>
          <w:szCs w:val="32"/>
          <w:highlight w:val="none"/>
          <w:lang w:val="en-US" w:eastAsia="zh-CN"/>
        </w:rPr>
        <w:t>8号</w:t>
      </w:r>
    </w:p>
    <w:p>
      <w:pPr>
        <w:spacing w:line="360" w:lineRule="auto"/>
        <w:ind w:firstLine="560"/>
        <w:rPr>
          <w:rFonts w:hint="default"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cs="仿宋_GB2312"/>
          <w:color w:val="000000"/>
          <w:spacing w:val="0"/>
          <w:w w:val="100"/>
          <w:position w:val="0"/>
          <w:sz w:val="32"/>
          <w:szCs w:val="32"/>
          <w:highlight w:val="none"/>
          <w:lang w:val="en-US" w:eastAsia="zh-CN"/>
        </w:rPr>
        <w:t>财教{2015}527号印发《中央补助地方公共文化服务体系建设专项资金管理暂行办法》</w:t>
      </w:r>
    </w:p>
    <w:p>
      <w:pPr>
        <w:pStyle w:val="3"/>
        <w:ind w:firstLine="643"/>
        <w:rPr>
          <w:rFonts w:ascii="仿宋" w:hAnsi="仿宋" w:eastAsia="仿宋"/>
          <w:lang w:bidi="en-US"/>
        </w:rPr>
      </w:pPr>
      <w:bookmarkStart w:id="25" w:name="_Toc165277236"/>
      <w:bookmarkStart w:id="26" w:name="_Toc67911607"/>
      <w:r>
        <w:rPr>
          <w:rFonts w:hint="eastAsia" w:ascii="仿宋" w:hAnsi="仿宋" w:eastAsia="仿宋"/>
          <w:lang w:bidi="en-US"/>
        </w:rPr>
        <w:t>（三）绩效评价工作过程</w:t>
      </w:r>
      <w:bookmarkEnd w:id="25"/>
      <w:bookmarkEnd w:id="26"/>
    </w:p>
    <w:p>
      <w:pPr>
        <w:spacing w:line="360" w:lineRule="auto"/>
        <w:ind w:firstLine="560"/>
        <w:rPr>
          <w:rFonts w:ascii="仿宋_GB2312"/>
        </w:rPr>
      </w:pPr>
      <w:r>
        <w:rPr>
          <w:rFonts w:hint="eastAsia" w:ascii="仿宋_GB231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3"/>
          <w:rFonts w:ascii="仿宋_GB2312"/>
        </w:rPr>
        <w:footnoteReference w:id="0"/>
      </w:r>
      <w:r>
        <w:rPr>
          <w:rFonts w:hint="eastAsia" w:ascii="仿宋_GB2312"/>
        </w:rPr>
        <w:t>、材料审核分析、现场核查评价、综合分析评价及报告撰写，评价项目实施情况，展现资金使用效益。</w:t>
      </w:r>
    </w:p>
    <w:p>
      <w:pPr>
        <w:pStyle w:val="2"/>
        <w:ind w:firstLine="0" w:firstLineChars="0"/>
        <w:jc w:val="left"/>
        <w:rPr>
          <w:rFonts w:ascii="仿宋" w:hAnsi="仿宋" w:eastAsia="仿宋"/>
          <w:sz w:val="36"/>
          <w:szCs w:val="36"/>
          <w:lang w:bidi="en-US"/>
        </w:rPr>
      </w:pPr>
      <w:bookmarkStart w:id="27" w:name="_Toc165277237"/>
      <w:bookmarkStart w:id="28" w:name="_Toc67911608"/>
      <w:r>
        <w:rPr>
          <w:rFonts w:hint="eastAsia" w:ascii="仿宋" w:hAnsi="仿宋" w:eastAsia="仿宋"/>
          <w:sz w:val="36"/>
          <w:szCs w:val="36"/>
          <w:lang w:bidi="en-US"/>
        </w:rPr>
        <w:t>三、综合评价情况及评价结论</w:t>
      </w:r>
      <w:bookmarkEnd w:id="27"/>
      <w:bookmarkEnd w:id="28"/>
    </w:p>
    <w:p>
      <w:pPr>
        <w:pStyle w:val="3"/>
        <w:ind w:firstLine="643"/>
        <w:rPr>
          <w:rFonts w:ascii="仿宋" w:hAnsi="仿宋" w:eastAsia="仿宋"/>
          <w:lang w:bidi="en-US"/>
        </w:rPr>
      </w:pPr>
      <w:bookmarkStart w:id="29" w:name="_Toc165277238"/>
      <w:bookmarkStart w:id="30" w:name="_Toc67911609"/>
      <w:r>
        <w:rPr>
          <w:rFonts w:hint="eastAsia" w:ascii="仿宋" w:hAnsi="仿宋" w:eastAsia="仿宋"/>
          <w:lang w:bidi="en-US"/>
        </w:rPr>
        <w:t>（一）评价结论</w:t>
      </w:r>
      <w:bookmarkEnd w:id="29"/>
      <w:bookmarkEnd w:id="30"/>
    </w:p>
    <w:p>
      <w:pPr>
        <w:spacing w:line="360" w:lineRule="auto"/>
        <w:ind w:firstLine="560"/>
        <w:rPr>
          <w:rFonts w:ascii="仿宋_GB2312"/>
          <w:szCs w:val="28"/>
        </w:rPr>
      </w:pPr>
      <w:r>
        <w:rPr>
          <w:rFonts w:hint="eastAsia" w:ascii="仿宋_GB2312"/>
          <w:szCs w:val="28"/>
        </w:rPr>
        <w:t>结合项目特点，制定符合项目实际的绩效评价指标体系及评分标准，通过数据采集、问卷调查及访谈等形式，对2</w:t>
      </w:r>
      <w:r>
        <w:rPr>
          <w:rFonts w:ascii="仿宋_GB2312"/>
          <w:szCs w:val="28"/>
        </w:rPr>
        <w:t>023</w:t>
      </w:r>
      <w:r>
        <w:rPr>
          <w:rFonts w:hint="eastAsia" w:ascii="仿宋_GB2312"/>
          <w:szCs w:val="28"/>
        </w:rPr>
        <w:t>年</w:t>
      </w:r>
      <w:r>
        <w:rPr>
          <w:rFonts w:hint="eastAsia" w:ascii="仿宋_GB2312"/>
          <w:szCs w:val="28"/>
          <w:lang w:eastAsia="zh-CN"/>
        </w:rPr>
        <w:t>戏曲公益性演出（戏曲进乡村）</w:t>
      </w:r>
      <w:r>
        <w:rPr>
          <w:rFonts w:hint="eastAsia" w:ascii="仿宋_GB2312"/>
          <w:szCs w:val="28"/>
        </w:rPr>
        <w:t>进行客观评价，最终评分结果为：总分为</w:t>
      </w:r>
      <w:r>
        <w:rPr>
          <w:rFonts w:hint="eastAsia" w:ascii="仿宋_GB2312"/>
          <w:szCs w:val="28"/>
          <w:lang w:val="en-US" w:eastAsia="zh-CN"/>
        </w:rPr>
        <w:t>100</w:t>
      </w:r>
      <w:r>
        <w:rPr>
          <w:rFonts w:hint="eastAsia" w:ascii="仿宋_GB2312"/>
          <w:szCs w:val="28"/>
        </w:rPr>
        <w:t>分，绩效评级为“</w:t>
      </w:r>
      <w:r>
        <w:rPr>
          <w:rFonts w:hint="eastAsia" w:ascii="仿宋_GB2312"/>
          <w:szCs w:val="28"/>
          <w:lang w:val="en-US" w:eastAsia="zh-CN"/>
        </w:rPr>
        <w:t>96.8</w:t>
      </w:r>
      <w:r>
        <w:rPr>
          <w:rFonts w:hint="eastAsia" w:ascii="仿宋_GB2312"/>
          <w:szCs w:val="28"/>
        </w:rPr>
        <w:t>”</w:t>
      </w:r>
      <w:r>
        <w:rPr>
          <w:rStyle w:val="23"/>
          <w:rFonts w:ascii="仿宋_GB2312"/>
          <w:szCs w:val="28"/>
        </w:rPr>
        <w:footnoteReference w:id="1"/>
      </w:r>
      <w:r>
        <w:rPr>
          <w:rFonts w:hint="eastAsia" w:ascii="仿宋_GB2312"/>
          <w:szCs w:val="28"/>
        </w:rPr>
        <w:t>。</w:t>
      </w:r>
    </w:p>
    <w:p>
      <w:pPr>
        <w:spacing w:line="360" w:lineRule="auto"/>
        <w:ind w:firstLine="560"/>
        <w:rPr>
          <w:rFonts w:ascii="仿宋_GB2312"/>
          <w:szCs w:val="28"/>
          <w:highlight w:val="none"/>
        </w:rPr>
      </w:pPr>
      <w:r>
        <w:rPr>
          <w:rFonts w:hint="eastAsia" w:ascii="仿宋_GB2312"/>
          <w:szCs w:val="28"/>
          <w:highlight w:val="none"/>
        </w:rPr>
        <w:t>项目各部分权重和绩效分值如附表所示：</w:t>
      </w:r>
    </w:p>
    <w:p>
      <w:pPr>
        <w:spacing w:line="360" w:lineRule="auto"/>
        <w:ind w:firstLine="0" w:firstLineChars="0"/>
        <w:jc w:val="center"/>
        <w:rPr>
          <w:rFonts w:ascii="仿宋_GB2312"/>
          <w:b/>
          <w:bCs/>
          <w:szCs w:val="28"/>
          <w:highlight w:val="none"/>
        </w:rPr>
      </w:pPr>
      <w:r>
        <w:rPr>
          <w:rFonts w:ascii="仿宋_GB2312"/>
          <w:b/>
          <w:bCs/>
          <w:szCs w:val="28"/>
          <w:highlight w:val="none"/>
        </w:rPr>
        <w:t xml:space="preserve">  </w:t>
      </w:r>
      <w:r>
        <w:rPr>
          <w:rFonts w:hint="eastAsia" w:ascii="仿宋_GB2312"/>
          <w:b/>
          <w:bCs/>
          <w:szCs w:val="28"/>
          <w:highlight w:val="none"/>
        </w:rPr>
        <w:t>项目各部分权重和绩效分值</w:t>
      </w:r>
    </w:p>
    <w:tbl>
      <w:tblPr>
        <w:tblStyle w:val="18"/>
        <w:tblW w:w="90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一级指标</w:t>
            </w:r>
          </w:p>
        </w:tc>
        <w:tc>
          <w:tcPr>
            <w:tcW w:w="1984"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二级指标</w:t>
            </w:r>
          </w:p>
        </w:tc>
        <w:tc>
          <w:tcPr>
            <w:tcW w:w="2693"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三级指标</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分值</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得分</w:t>
            </w:r>
          </w:p>
        </w:tc>
        <w:tc>
          <w:tcPr>
            <w:tcW w:w="1039" w:type="dxa"/>
            <w:tcBorders>
              <w:tl2br w:val="nil"/>
              <w:tr2bl w:val="nil"/>
            </w:tcBorders>
            <w:shd w:val="clear" w:color="auto" w:fill="D0CECE" w:themeFill="background2" w:themeFillShade="E6"/>
            <w:vAlign w:val="center"/>
          </w:tcPr>
          <w:p>
            <w:pPr>
              <w:widowControl/>
              <w:ind w:firstLine="0" w:firstLineChars="0"/>
              <w:jc w:val="center"/>
              <w:rPr>
                <w:rFonts w:ascii="仿宋_GB2312" w:hAnsi="Gungsuh" w:cs="宋体"/>
                <w:b/>
                <w:bCs/>
                <w:kern w:val="0"/>
                <w:sz w:val="24"/>
                <w:szCs w:val="24"/>
                <w:highlight w:val="none"/>
              </w:rPr>
            </w:pPr>
            <w:r>
              <w:rPr>
                <w:rFonts w:hint="eastAsia" w:ascii="仿宋_GB2312" w:hAnsi="Gungsuh" w:cs="宋体"/>
                <w:b/>
                <w:bCs/>
                <w:kern w:val="0"/>
                <w:sz w:val="24"/>
                <w:szCs w:val="24"/>
                <w:highlight w:val="none"/>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决策</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项目立项</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立项依据充分性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4</w:t>
            </w:r>
          </w:p>
        </w:tc>
        <w:tc>
          <w:tcPr>
            <w:tcW w:w="1039"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立项程序规范性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4</w:t>
            </w:r>
          </w:p>
        </w:tc>
        <w:tc>
          <w:tcPr>
            <w:tcW w:w="1039"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绩效目标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绩效目标合理性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绩效指标明确性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资金投入</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预算编制科学性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3</w:t>
            </w:r>
          </w:p>
        </w:tc>
        <w:tc>
          <w:tcPr>
            <w:tcW w:w="1039"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资金分配合理性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3</w:t>
            </w:r>
          </w:p>
        </w:tc>
        <w:tc>
          <w:tcPr>
            <w:tcW w:w="1039"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过程</w:t>
            </w: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资金管理</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资金到位率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5</w:t>
            </w:r>
          </w:p>
        </w:tc>
        <w:tc>
          <w:tcPr>
            <w:tcW w:w="1039" w:type="dxa"/>
            <w:tcBorders>
              <w:tl2br w:val="nil"/>
              <w:tr2bl w:val="nil"/>
            </w:tcBorders>
            <w:shd w:val="clear" w:color="000000" w:fill="FFFFFF"/>
            <w:vAlign w:val="center"/>
          </w:tcPr>
          <w:p>
            <w:pPr>
              <w:widowControl/>
              <w:ind w:left="0" w:leftChars="0" w:firstLine="0" w:firstLineChars="0"/>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预算执行率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5</w:t>
            </w:r>
          </w:p>
        </w:tc>
        <w:tc>
          <w:tcPr>
            <w:tcW w:w="898" w:type="dxa"/>
            <w:tcBorders>
              <w:tl2br w:val="nil"/>
              <w:tr2bl w:val="nil"/>
            </w:tcBorders>
            <w:shd w:val="clear" w:color="auto"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5</w:t>
            </w:r>
          </w:p>
        </w:tc>
        <w:tc>
          <w:tcPr>
            <w:tcW w:w="1039"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资金使用合规性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组织实施</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管理制度健全性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制度执行有效性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4</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产出</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产出数量</w:t>
            </w:r>
          </w:p>
        </w:tc>
        <w:tc>
          <w:tcPr>
            <w:tcW w:w="2693" w:type="dxa"/>
            <w:tcBorders>
              <w:tl2br w:val="nil"/>
              <w:tr2bl w:val="nil"/>
            </w:tcBorders>
            <w:shd w:val="clear" w:color="auto" w:fill="FFFFFF"/>
          </w:tcPr>
          <w:p>
            <w:pPr>
              <w:widowControl/>
              <w:ind w:firstLine="0" w:firstLineChars="0"/>
              <w:jc w:val="center"/>
              <w:rPr>
                <w:rFonts w:hint="eastAsia" w:ascii="仿宋_GB2312" w:hAnsi="宋体" w:eastAsia="仿宋_GB2312" w:cs="宋体"/>
                <w:kern w:val="0"/>
                <w:sz w:val="24"/>
                <w:szCs w:val="24"/>
                <w:highlight w:val="none"/>
                <w:lang w:eastAsia="zh-CN"/>
              </w:rPr>
            </w:pPr>
            <w:r>
              <w:rPr>
                <w:rFonts w:hint="eastAsia" w:ascii="宋体" w:hAnsi="宋体" w:eastAsia="宋体" w:cs="宋体"/>
                <w:color w:val="000000"/>
                <w:kern w:val="0"/>
                <w:sz w:val="22"/>
                <w:highlight w:val="none"/>
                <w:lang w:eastAsia="zh-CN"/>
              </w:rPr>
              <w:t>赴基层演出场次</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1039" w:type="dxa"/>
            <w:tcBorders>
              <w:bottom w:val="single" w:color="auto" w:sz="4" w:space="0"/>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hint="eastAsia" w:ascii="仿宋_GB2312" w:hAnsi="宋体" w:eastAsia="仿宋_GB2312" w:cs="宋体"/>
                <w:kern w:val="0"/>
                <w:sz w:val="24"/>
                <w:szCs w:val="24"/>
                <w:highlight w:val="none"/>
                <w:lang w:eastAsia="zh-CN"/>
              </w:rPr>
            </w:pPr>
            <w:r>
              <w:rPr>
                <w:rFonts w:hint="eastAsia" w:ascii="宋体" w:hAnsi="宋体" w:eastAsia="宋体" w:cs="宋体"/>
                <w:color w:val="000000"/>
                <w:kern w:val="0"/>
                <w:sz w:val="22"/>
                <w:highlight w:val="none"/>
                <w:lang w:eastAsia="zh-CN"/>
              </w:rPr>
              <w:t>驻场演出场次</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5</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4.1</w:t>
            </w:r>
          </w:p>
        </w:tc>
        <w:tc>
          <w:tcPr>
            <w:tcW w:w="1039" w:type="dxa"/>
            <w:tcBorders>
              <w:top w:val="single" w:color="auto" w:sz="4" w:space="0"/>
              <w:bottom w:val="single" w:color="auto" w:sz="4" w:space="0"/>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lang w:val="en-US" w:eastAsia="zh-CN"/>
              </w:rPr>
              <w:t>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tcPr>
          <w:p>
            <w:pPr>
              <w:widowControl/>
              <w:ind w:firstLine="0" w:firstLineChars="0"/>
              <w:jc w:val="center"/>
              <w:rPr>
                <w:rFonts w:hint="eastAsia" w:ascii="仿宋_GB2312" w:hAnsi="宋体" w:eastAsia="仿宋_GB2312" w:cs="宋体"/>
                <w:kern w:val="0"/>
                <w:sz w:val="24"/>
                <w:szCs w:val="24"/>
                <w:lang w:eastAsia="zh-CN"/>
              </w:rPr>
            </w:pPr>
            <w:r>
              <w:rPr>
                <w:rFonts w:hint="eastAsia" w:ascii="宋体" w:hAnsi="宋体" w:eastAsia="宋体" w:cs="宋体"/>
                <w:color w:val="000000"/>
                <w:kern w:val="0"/>
                <w:sz w:val="22"/>
                <w:lang w:eastAsia="zh-CN"/>
              </w:rPr>
              <w:t>惠民演出场次</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eastAsia="仿宋_GB2312" w:cs="宋体"/>
                <w:kern w:val="0"/>
                <w:sz w:val="24"/>
                <w:szCs w:val="24"/>
                <w:lang w:eastAsia="zh-CN"/>
              </w:rPr>
            </w:pPr>
            <w:r>
              <w:rPr>
                <w:rFonts w:hint="eastAsia" w:ascii="仿宋_GB2312" w:hAnsi="宋体" w:cs="宋体"/>
                <w:kern w:val="0"/>
                <w:sz w:val="24"/>
                <w:szCs w:val="24"/>
                <w:lang w:val="en-US" w:eastAsia="zh-CN"/>
              </w:rPr>
              <w:t>5</w:t>
            </w:r>
          </w:p>
        </w:tc>
        <w:tc>
          <w:tcPr>
            <w:tcW w:w="898" w:type="dxa"/>
            <w:tcBorders>
              <w:right w:val="single" w:color="auto" w:sz="4" w:space="0"/>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4.3</w:t>
            </w:r>
          </w:p>
        </w:tc>
        <w:tc>
          <w:tcPr>
            <w:tcW w:w="1039" w:type="dxa"/>
            <w:tcBorders>
              <w:top w:val="single" w:color="auto" w:sz="4" w:space="0"/>
              <w:left w:val="single" w:color="auto" w:sz="4" w:space="0"/>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产出质量</w:t>
            </w:r>
          </w:p>
        </w:tc>
        <w:tc>
          <w:tcPr>
            <w:tcW w:w="2693" w:type="dxa"/>
            <w:tcBorders>
              <w:tl2br w:val="nil"/>
              <w:tr2bl w:val="nil"/>
            </w:tcBorders>
            <w:shd w:val="clear" w:color="auto" w:fill="FFFFFF"/>
            <w:vAlign w:val="center"/>
          </w:tcPr>
          <w:p>
            <w:pPr>
              <w:widowControl/>
              <w:ind w:firstLine="0" w:firstLineChars="0"/>
              <w:jc w:val="center"/>
              <w:rPr>
                <w:rFonts w:hint="eastAsia" w:ascii="仿宋_GB2312" w:hAnsi="宋体" w:eastAsia="仿宋_GB2312" w:cs="宋体"/>
                <w:kern w:val="0"/>
                <w:sz w:val="24"/>
                <w:szCs w:val="24"/>
                <w:lang w:eastAsia="zh-CN"/>
              </w:rPr>
            </w:pPr>
            <w:r>
              <w:rPr>
                <w:rFonts w:hint="eastAsia" w:ascii="宋体" w:hAnsi="宋体" w:eastAsia="宋体" w:cs="宋体"/>
                <w:color w:val="000000"/>
                <w:kern w:val="0"/>
                <w:sz w:val="22"/>
                <w:lang w:eastAsia="zh-CN"/>
              </w:rPr>
              <w:t>演出质量完成率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w:t>
            </w:r>
            <w:r>
              <w:rPr>
                <w:rFonts w:ascii="仿宋_GB2312" w:hAnsi="宋体" w:cs="宋体"/>
                <w:kern w:val="0"/>
                <w:sz w:val="24"/>
                <w:szCs w:val="24"/>
              </w:rPr>
              <w:t>0</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产出时效</w:t>
            </w:r>
          </w:p>
        </w:tc>
        <w:tc>
          <w:tcPr>
            <w:tcW w:w="2693" w:type="dxa"/>
            <w:tcBorders>
              <w:tl2br w:val="nil"/>
              <w:tr2bl w:val="nil"/>
            </w:tcBorders>
            <w:shd w:val="clear" w:color="auto" w:fill="FFFFFF"/>
            <w:vAlign w:val="center"/>
          </w:tcPr>
          <w:p>
            <w:pPr>
              <w:widowControl/>
              <w:ind w:firstLine="0" w:firstLineChars="0"/>
              <w:jc w:val="center"/>
              <w:rPr>
                <w:rFonts w:hint="eastAsia" w:ascii="仿宋_GB2312" w:hAnsi="宋体" w:eastAsia="仿宋_GB2312" w:cs="宋体"/>
                <w:kern w:val="0"/>
                <w:sz w:val="24"/>
                <w:szCs w:val="24"/>
                <w:highlight w:val="none"/>
                <w:lang w:eastAsia="zh-CN"/>
              </w:rPr>
            </w:pPr>
            <w:r>
              <w:rPr>
                <w:rFonts w:hint="eastAsia" w:ascii="宋体" w:hAnsi="宋体" w:eastAsia="宋体" w:cs="宋体"/>
                <w:color w:val="000000"/>
                <w:kern w:val="0"/>
                <w:sz w:val="22"/>
                <w:highlight w:val="none"/>
                <w:lang w:eastAsia="zh-CN"/>
              </w:rPr>
              <w:t>演出完成时间</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产出成本</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宋体" w:hAnsi="宋体" w:eastAsia="宋体" w:cs="宋体"/>
                <w:color w:val="000000"/>
                <w:kern w:val="0"/>
                <w:sz w:val="22"/>
                <w:highlight w:val="none"/>
              </w:rPr>
              <w:t>项目预算控制率</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jc w:val="center"/>
        </w:trPr>
        <w:tc>
          <w:tcPr>
            <w:tcW w:w="1550"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效益</w:t>
            </w: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项目效益</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宋体" w:hAnsi="宋体" w:eastAsia="宋体" w:cs="宋体"/>
                <w:color w:val="000000"/>
                <w:kern w:val="0"/>
                <w:sz w:val="22"/>
                <w:highlight w:val="none"/>
              </w:rPr>
              <w:t>社会效益指标</w:t>
            </w:r>
          </w:p>
        </w:tc>
        <w:tc>
          <w:tcPr>
            <w:tcW w:w="898"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5</w:t>
            </w:r>
          </w:p>
        </w:tc>
        <w:tc>
          <w:tcPr>
            <w:tcW w:w="898"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5</w:t>
            </w:r>
          </w:p>
        </w:tc>
        <w:tc>
          <w:tcPr>
            <w:tcW w:w="1039"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ascii="宋体" w:hAnsi="宋体" w:eastAsia="宋体" w:cs="宋体"/>
                <w:color w:val="000000"/>
                <w:kern w:val="0"/>
                <w:sz w:val="22"/>
                <w:highlight w:val="none"/>
              </w:rPr>
              <w:t>满意度指标完成情况分析</w:t>
            </w: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宋体" w:hAnsi="宋体" w:eastAsia="宋体" w:cs="宋体"/>
                <w:color w:val="000000"/>
                <w:kern w:val="0"/>
                <w:sz w:val="22"/>
                <w:highlight w:val="none"/>
              </w:rPr>
              <w:t>满意度指标</w:t>
            </w:r>
          </w:p>
        </w:tc>
        <w:tc>
          <w:tcPr>
            <w:tcW w:w="269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群众满意度</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5</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5</w:t>
            </w:r>
          </w:p>
        </w:tc>
        <w:tc>
          <w:tcPr>
            <w:tcW w:w="1039"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100%</w:t>
            </w:r>
          </w:p>
        </w:tc>
      </w:tr>
    </w:tbl>
    <w:p>
      <w:pPr>
        <w:pStyle w:val="3"/>
        <w:ind w:firstLine="643"/>
        <w:rPr>
          <w:rFonts w:ascii="仿宋" w:hAnsi="仿宋" w:eastAsia="仿宋"/>
          <w:lang w:bidi="en-US"/>
        </w:rPr>
      </w:pPr>
      <w:bookmarkStart w:id="31" w:name="_Toc67911610"/>
      <w:bookmarkStart w:id="32" w:name="_Toc165277239"/>
      <w:r>
        <w:rPr>
          <w:rFonts w:hint="eastAsia" w:ascii="仿宋" w:hAnsi="仿宋" w:eastAsia="仿宋"/>
          <w:lang w:bidi="en-US"/>
        </w:rPr>
        <w:t>（二）主要绩效</w:t>
      </w:r>
      <w:bookmarkEnd w:id="31"/>
      <w:bookmarkEnd w:id="32"/>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_GB2312"/>
          <w:bCs/>
          <w:sz w:val="24"/>
          <w:szCs w:val="24"/>
          <w:highlight w:val="yellow"/>
        </w:rPr>
      </w:pPr>
      <w:r>
        <w:rPr>
          <w:rFonts w:hint="eastAsia" w:ascii="仿宋_GB2312"/>
          <w:bCs/>
          <w:szCs w:val="28"/>
        </w:rPr>
        <w:t>该项目资金</w:t>
      </w:r>
      <w:r>
        <w:rPr>
          <w:rFonts w:hint="eastAsia" w:ascii="仿宋_GB2312"/>
          <w:bCs/>
          <w:szCs w:val="28"/>
          <w:lang w:eastAsia="zh-CN"/>
        </w:rPr>
        <w:t>市</w:t>
      </w:r>
      <w:r>
        <w:rPr>
          <w:rFonts w:hint="eastAsia" w:ascii="仿宋_GB2312"/>
          <w:bCs/>
          <w:szCs w:val="28"/>
        </w:rPr>
        <w:t>财政及时拨付，</w:t>
      </w:r>
      <w:r>
        <w:rPr>
          <w:rFonts w:hint="eastAsia" w:ascii="仿宋_GB2312"/>
          <w:bCs/>
          <w:szCs w:val="28"/>
          <w:lang w:eastAsia="zh-CN"/>
        </w:rPr>
        <w:t>单位在此次评价期间，</w:t>
      </w:r>
      <w:r>
        <w:rPr>
          <w:rFonts w:hint="eastAsia" w:ascii="仿宋" w:hAnsi="仿宋" w:eastAsia="仿宋" w:cs="仿宋"/>
          <w:sz w:val="28"/>
          <w:szCs w:val="28"/>
        </w:rPr>
        <w:t>此次演出活动共覆盖喀什、克州</w:t>
      </w:r>
      <w:r>
        <w:rPr>
          <w:rFonts w:hint="eastAsia" w:ascii="仿宋" w:hAnsi="仿宋" w:eastAsia="仿宋" w:cs="仿宋"/>
          <w:sz w:val="28"/>
          <w:szCs w:val="28"/>
          <w:lang w:eastAsia="zh-CN"/>
        </w:rPr>
        <w:t>、昌吉州三</w:t>
      </w:r>
      <w:r>
        <w:rPr>
          <w:rFonts w:hint="eastAsia" w:ascii="仿宋" w:hAnsi="仿宋" w:eastAsia="仿宋" w:cs="仿宋"/>
          <w:sz w:val="28"/>
          <w:szCs w:val="28"/>
        </w:rPr>
        <w:t>地区1</w:t>
      </w:r>
      <w:r>
        <w:rPr>
          <w:rFonts w:hint="eastAsia" w:ascii="仿宋" w:hAnsi="仿宋" w:eastAsia="仿宋" w:cs="仿宋"/>
          <w:sz w:val="28"/>
          <w:szCs w:val="28"/>
          <w:lang w:val="en-US" w:eastAsia="zh-CN"/>
        </w:rPr>
        <w:t>8</w:t>
      </w:r>
      <w:r>
        <w:rPr>
          <w:rFonts w:hint="eastAsia" w:ascii="仿宋" w:hAnsi="仿宋" w:eastAsia="仿宋" w:cs="仿宋"/>
          <w:sz w:val="28"/>
          <w:szCs w:val="28"/>
        </w:rPr>
        <w:t>个县、市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完成演出任务216场</w:t>
      </w:r>
      <w:r>
        <w:rPr>
          <w:rFonts w:hint="eastAsia" w:ascii="仿宋" w:hAnsi="仿宋" w:eastAsia="仿宋" w:cs="仿宋"/>
          <w:sz w:val="28"/>
          <w:szCs w:val="28"/>
        </w:rPr>
        <w:t>。演出覆盖：</w:t>
      </w:r>
      <w:r>
        <w:rPr>
          <w:rFonts w:hint="eastAsia" w:ascii="仿宋" w:hAnsi="仿宋" w:eastAsia="仿宋" w:cs="仿宋"/>
          <w:sz w:val="28"/>
          <w:szCs w:val="28"/>
          <w:lang w:val="en-US" w:eastAsia="zh-CN"/>
        </w:rPr>
        <w:t>46</w:t>
      </w:r>
      <w:r>
        <w:rPr>
          <w:rFonts w:hint="eastAsia" w:ascii="仿宋" w:hAnsi="仿宋" w:eastAsia="仿宋" w:cs="仿宋"/>
          <w:sz w:val="28"/>
          <w:szCs w:val="28"/>
        </w:rPr>
        <w:t>个乡镇、</w:t>
      </w:r>
      <w:r>
        <w:rPr>
          <w:rFonts w:hint="eastAsia" w:ascii="仿宋" w:hAnsi="仿宋" w:eastAsia="仿宋" w:cs="仿宋"/>
          <w:sz w:val="28"/>
          <w:szCs w:val="28"/>
          <w:lang w:val="en-US" w:eastAsia="zh-CN"/>
        </w:rPr>
        <w:t>7</w:t>
      </w:r>
      <w:r>
        <w:rPr>
          <w:rFonts w:hint="eastAsia" w:ascii="仿宋" w:hAnsi="仿宋" w:eastAsia="仿宋" w:cs="仿宋"/>
          <w:sz w:val="28"/>
          <w:szCs w:val="28"/>
        </w:rPr>
        <w:t>个街道、</w:t>
      </w:r>
      <w:r>
        <w:rPr>
          <w:rFonts w:hint="eastAsia" w:ascii="仿宋" w:hAnsi="仿宋" w:eastAsia="仿宋" w:cs="仿宋"/>
          <w:sz w:val="28"/>
          <w:szCs w:val="28"/>
          <w:lang w:val="en-US" w:eastAsia="zh-CN"/>
        </w:rPr>
        <w:t>2</w:t>
      </w:r>
      <w:r>
        <w:rPr>
          <w:rFonts w:hint="eastAsia" w:ascii="仿宋" w:hAnsi="仿宋" w:eastAsia="仿宋" w:cs="仿宋"/>
          <w:sz w:val="28"/>
          <w:szCs w:val="28"/>
        </w:rPr>
        <w:t>家医院、</w:t>
      </w:r>
      <w:r>
        <w:rPr>
          <w:rFonts w:hint="eastAsia" w:ascii="仿宋" w:hAnsi="仿宋" w:eastAsia="仿宋" w:cs="仿宋"/>
          <w:sz w:val="28"/>
          <w:szCs w:val="28"/>
          <w:lang w:val="en-US" w:eastAsia="zh-CN"/>
        </w:rPr>
        <w:t>学校3个、</w:t>
      </w:r>
      <w:r>
        <w:rPr>
          <w:rFonts w:hint="eastAsia" w:ascii="仿宋" w:hAnsi="仿宋" w:eastAsia="仿宋" w:cs="仿宋"/>
          <w:sz w:val="28"/>
          <w:szCs w:val="28"/>
        </w:rPr>
        <w:t>边防连和景区各1个，观众覆盖</w:t>
      </w:r>
      <w:r>
        <w:rPr>
          <w:rFonts w:hint="eastAsia" w:ascii="仿宋" w:hAnsi="仿宋" w:eastAsia="仿宋" w:cs="仿宋"/>
          <w:sz w:val="28"/>
          <w:szCs w:val="28"/>
          <w:lang w:val="en-US" w:eastAsia="zh-CN"/>
        </w:rPr>
        <w:t>380</w:t>
      </w:r>
      <w:r>
        <w:rPr>
          <w:rFonts w:hint="eastAsia" w:ascii="仿宋" w:hAnsi="仿宋" w:eastAsia="仿宋" w:cs="仿宋"/>
          <w:sz w:val="28"/>
          <w:szCs w:val="28"/>
        </w:rPr>
        <w:t>00余人，红山眼、</w:t>
      </w:r>
      <w:r>
        <w:rPr>
          <w:rFonts w:hint="eastAsia" w:ascii="仿宋" w:hAnsi="仿宋" w:eastAsia="仿宋" w:cs="仿宋"/>
          <w:sz w:val="28"/>
          <w:szCs w:val="28"/>
          <w:lang w:eastAsia="zh-CN"/>
        </w:rPr>
        <w:t>石榴云、</w:t>
      </w:r>
      <w:r>
        <w:rPr>
          <w:rFonts w:hint="eastAsia" w:ascii="仿宋" w:hAnsi="仿宋" w:eastAsia="仿宋" w:cs="仿宋"/>
          <w:sz w:val="28"/>
          <w:szCs w:val="28"/>
        </w:rPr>
        <w:t>掌上乌鲁木齐以及演出覆盖县、市多媒体报道</w:t>
      </w:r>
      <w:r>
        <w:rPr>
          <w:rFonts w:hint="eastAsia" w:ascii="仿宋" w:hAnsi="仿宋" w:eastAsia="仿宋" w:cs="仿宋"/>
          <w:sz w:val="28"/>
          <w:szCs w:val="28"/>
          <w:lang w:val="en-US" w:eastAsia="zh-CN"/>
        </w:rPr>
        <w:t>20</w:t>
      </w:r>
      <w:r>
        <w:rPr>
          <w:rFonts w:hint="eastAsia" w:ascii="仿宋" w:hAnsi="仿宋" w:eastAsia="仿宋" w:cs="仿宋"/>
          <w:sz w:val="28"/>
          <w:szCs w:val="28"/>
        </w:rPr>
        <w:t>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演出行程达10000余公里。</w:t>
      </w:r>
    </w:p>
    <w:p>
      <w:pPr>
        <w:pStyle w:val="2"/>
        <w:ind w:firstLine="0" w:firstLineChars="0"/>
        <w:jc w:val="left"/>
        <w:rPr>
          <w:rFonts w:ascii="仿宋" w:hAnsi="仿宋" w:eastAsia="仿宋"/>
          <w:sz w:val="36"/>
          <w:szCs w:val="36"/>
          <w:lang w:bidi="en-US"/>
        </w:rPr>
      </w:pPr>
      <w:bookmarkStart w:id="33" w:name="_Toc67911611"/>
      <w:bookmarkStart w:id="34" w:name="_Toc165277240"/>
      <w:r>
        <w:rPr>
          <w:rFonts w:hint="eastAsia" w:ascii="仿宋" w:hAnsi="仿宋" w:eastAsia="仿宋"/>
          <w:sz w:val="36"/>
          <w:szCs w:val="36"/>
          <w:lang w:bidi="en-US"/>
        </w:rPr>
        <w:t>四、绩效评价指标分析</w:t>
      </w:r>
      <w:bookmarkEnd w:id="33"/>
      <w:bookmarkEnd w:id="34"/>
    </w:p>
    <w:p>
      <w:pPr>
        <w:pStyle w:val="3"/>
        <w:ind w:firstLine="643"/>
        <w:rPr>
          <w:rFonts w:ascii="仿宋" w:hAnsi="仿宋" w:eastAsia="仿宋"/>
          <w:lang w:bidi="en-US"/>
        </w:rPr>
      </w:pPr>
      <w:bookmarkStart w:id="35" w:name="_Toc165277241"/>
      <w:bookmarkStart w:id="36" w:name="_Toc67911612"/>
      <w:r>
        <w:rPr>
          <w:rFonts w:hint="eastAsia" w:ascii="仿宋" w:hAnsi="仿宋" w:eastAsia="仿宋"/>
          <w:lang w:bidi="en-US"/>
        </w:rPr>
        <w:t>（一）项目决策情况</w:t>
      </w:r>
      <w:bookmarkEnd w:id="35"/>
      <w:bookmarkEnd w:id="36"/>
    </w:p>
    <w:p>
      <w:pPr>
        <w:spacing w:line="360" w:lineRule="auto"/>
        <w:ind w:firstLine="560"/>
        <w:rPr>
          <w:rFonts w:ascii="仿宋_GB2312"/>
          <w:szCs w:val="28"/>
        </w:rPr>
      </w:pPr>
      <w:r>
        <w:rPr>
          <w:rFonts w:hint="eastAsia" w:ascii="仿宋_GB2312"/>
          <w:szCs w:val="28"/>
        </w:rPr>
        <w:t>项目决算指标由</w:t>
      </w:r>
      <w:r>
        <w:rPr>
          <w:rFonts w:hint="eastAsia" w:ascii="仿宋_GB2312"/>
          <w:szCs w:val="28"/>
          <w:lang w:val="en-US" w:eastAsia="zh-CN"/>
        </w:rPr>
        <w:t>3</w:t>
      </w:r>
      <w:r>
        <w:rPr>
          <w:rFonts w:hint="eastAsia" w:ascii="仿宋_GB2312"/>
          <w:szCs w:val="28"/>
        </w:rPr>
        <w:t>个二级指标和6个三级指标构成，权重为</w:t>
      </w:r>
      <w:r>
        <w:rPr>
          <w:rStyle w:val="22"/>
          <w:rFonts w:hint="eastAsia"/>
          <w:lang w:val="en-US" w:eastAsia="zh-CN"/>
        </w:rPr>
        <w:t>20</w:t>
      </w:r>
      <w:r>
        <w:rPr>
          <w:rFonts w:hint="eastAsia" w:ascii="仿宋_GB2312"/>
          <w:szCs w:val="28"/>
        </w:rPr>
        <w:t>分，实际得分</w:t>
      </w:r>
      <w:r>
        <w:rPr>
          <w:rFonts w:hint="eastAsia" w:ascii="仿宋_GB2312"/>
          <w:szCs w:val="28"/>
          <w:lang w:val="en-US" w:eastAsia="zh-CN"/>
        </w:rPr>
        <w:t>20</w:t>
      </w:r>
      <w:r>
        <w:rPr>
          <w:rFonts w:hint="eastAsia" w:ascii="仿宋_GB2312"/>
          <w:szCs w:val="28"/>
        </w:rPr>
        <w:t>分。</w:t>
      </w:r>
    </w:p>
    <w:p>
      <w:pPr>
        <w:pStyle w:val="4"/>
        <w:ind w:firstLine="643"/>
      </w:pPr>
      <w:bookmarkStart w:id="37" w:name="_Toc165277242"/>
      <w:r>
        <w:t>1.</w:t>
      </w:r>
      <w:r>
        <w:rPr>
          <w:rFonts w:hint="eastAsia"/>
        </w:rPr>
        <w:t>项目立项</w:t>
      </w:r>
      <w:bookmarkEnd w:id="37"/>
    </w:p>
    <w:p>
      <w:pPr>
        <w:spacing w:line="360" w:lineRule="auto"/>
        <w:ind w:firstLine="562"/>
        <w:rPr>
          <w:rFonts w:ascii="仿宋_GB2312"/>
          <w:color w:val="auto"/>
          <w:szCs w:val="28"/>
          <w:highlight w:val="none"/>
        </w:rPr>
      </w:pPr>
      <w:r>
        <w:rPr>
          <w:rFonts w:hint="eastAsia" w:ascii="仿宋_GB2312"/>
          <w:b/>
          <w:bCs/>
          <w:color w:val="auto"/>
          <w:szCs w:val="28"/>
          <w:highlight w:val="none"/>
        </w:rPr>
        <w:t>立项依据充分性：</w:t>
      </w:r>
      <w:r>
        <w:rPr>
          <w:rFonts w:hint="eastAsia" w:ascii="仿宋_GB2312"/>
          <w:b/>
          <w:bCs/>
          <w:color w:val="auto"/>
          <w:szCs w:val="28"/>
          <w:highlight w:val="none"/>
          <w:lang w:val="en-US" w:eastAsia="zh-CN"/>
        </w:rPr>
        <w:t>根据自治区文化和旅游厅的工作安排，乌鲁木齐市秦剧团(新疆秦剧团)将完成201场戏曲进乡村演出工作，市财政拨付经费100.5万元。</w:t>
      </w:r>
      <w:r>
        <w:rPr>
          <w:rFonts w:hint="eastAsia" w:ascii="仿宋_GB2312"/>
          <w:color w:val="auto"/>
          <w:szCs w:val="28"/>
          <w:highlight w:val="none"/>
        </w:rPr>
        <w:t>项目立项符合国家法律法规、政策要求。同时，项目与部门职责范围相符，属于部门履职所需。此外，本项目属于公共财政支持范围，符合中央、地方事权支出责任划分原则。因此，立项依据充分，得4分。</w:t>
      </w:r>
    </w:p>
    <w:p>
      <w:pPr>
        <w:spacing w:line="360" w:lineRule="auto"/>
        <w:ind w:firstLine="562"/>
        <w:rPr>
          <w:rFonts w:hint="default" w:eastAsia="仿宋_GB2312"/>
          <w:color w:val="auto"/>
          <w:highlight w:val="none"/>
          <w:lang w:val="en-US" w:eastAsia="zh-CN"/>
        </w:rPr>
      </w:pPr>
      <w:r>
        <w:rPr>
          <w:rFonts w:hint="eastAsia" w:ascii="仿宋_GB2312"/>
          <w:b/>
          <w:bCs/>
          <w:color w:val="auto"/>
          <w:szCs w:val="28"/>
          <w:highlight w:val="none"/>
        </w:rPr>
        <w:t>立项程序规范性</w:t>
      </w:r>
      <w:r>
        <w:rPr>
          <w:rFonts w:ascii="仿宋_GB2312"/>
          <w:b/>
          <w:bCs/>
          <w:color w:val="auto"/>
          <w:szCs w:val="28"/>
          <w:highlight w:val="none"/>
        </w:rPr>
        <w:t>:</w:t>
      </w:r>
      <w:r>
        <w:rPr>
          <w:rFonts w:hint="eastAsia"/>
          <w:color w:val="auto"/>
          <w:highlight w:val="none"/>
        </w:rPr>
        <w:t xml:space="preserve"> </w:t>
      </w:r>
      <w:r>
        <w:rPr>
          <w:rFonts w:hint="eastAsia"/>
          <w:color w:val="auto"/>
          <w:highlight w:val="none"/>
          <w:lang w:val="en-US" w:eastAsia="zh-CN"/>
        </w:rPr>
        <w:t>依据项目的批复，剧团制定的演出时间及场次申请经费，审批文件材料符合相关要求，故立项程序规范，得4分。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8</w:t>
      </w:r>
      <w:r>
        <w:rPr>
          <w:rFonts w:hint="eastAsia" w:ascii="仿宋_GB2312" w:hAnsi="仿宋" w:cs="宋体"/>
          <w:b/>
          <w:kern w:val="0"/>
          <w:szCs w:val="28"/>
        </w:rPr>
        <w:t>分，得分</w:t>
      </w:r>
      <w:r>
        <w:rPr>
          <w:rFonts w:hint="eastAsia" w:ascii="仿宋_GB2312" w:hAnsi="仿宋" w:cs="宋体"/>
          <w:b/>
          <w:kern w:val="0"/>
          <w:szCs w:val="28"/>
          <w:lang w:val="en-US" w:eastAsia="zh-CN"/>
        </w:rPr>
        <w:t>8</w:t>
      </w:r>
      <w:r>
        <w:rPr>
          <w:rFonts w:hint="eastAsia" w:ascii="仿宋_GB2312" w:hAnsi="仿宋" w:cs="宋体"/>
          <w:b/>
          <w:kern w:val="0"/>
          <w:szCs w:val="28"/>
        </w:rPr>
        <w:t>分。</w:t>
      </w:r>
    </w:p>
    <w:p>
      <w:pPr>
        <w:pStyle w:val="4"/>
        <w:ind w:firstLine="643"/>
      </w:pPr>
      <w:bookmarkStart w:id="38" w:name="_Toc165277243"/>
      <w:r>
        <w:rPr>
          <w:rFonts w:hint="eastAsia"/>
        </w:rPr>
        <w:t>2</w:t>
      </w:r>
      <w:r>
        <w:t>.</w:t>
      </w:r>
      <w:r>
        <w:rPr>
          <w:rFonts w:hint="eastAsia"/>
        </w:rPr>
        <w:t>绩效目标</w:t>
      </w:r>
      <w:bookmarkEnd w:id="38"/>
    </w:p>
    <w:p>
      <w:pPr>
        <w:spacing w:line="360" w:lineRule="auto"/>
        <w:ind w:firstLine="562"/>
        <w:rPr>
          <w:rFonts w:ascii="仿宋_GB2312"/>
          <w:szCs w:val="28"/>
        </w:rPr>
      </w:pPr>
      <w:r>
        <w:rPr>
          <w:rFonts w:hint="eastAsia" w:ascii="仿宋_GB2312"/>
          <w:b/>
          <w:bCs/>
          <w:szCs w:val="28"/>
        </w:rPr>
        <w:t>绩效目标合理性：</w:t>
      </w:r>
      <w:r>
        <w:rPr>
          <w:rFonts w:hint="eastAsia" w:ascii="仿宋_GB2312"/>
          <w:szCs w:val="28"/>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szCs w:val="28"/>
        </w:rPr>
        <w:t>3</w:t>
      </w:r>
      <w:r>
        <w:rPr>
          <w:rFonts w:hint="eastAsia" w:ascii="仿宋_GB2312"/>
          <w:szCs w:val="28"/>
        </w:rPr>
        <w:t>分。</w:t>
      </w:r>
    </w:p>
    <w:p>
      <w:pPr>
        <w:autoSpaceDE w:val="0"/>
        <w:spacing w:line="600" w:lineRule="exact"/>
        <w:ind w:firstLine="562"/>
        <w:rPr>
          <w:rFonts w:ascii="仿宋_GB2312" w:hAnsi="仿宋" w:cs="宋体"/>
          <w:kern w:val="0"/>
          <w:szCs w:val="28"/>
          <w:highlight w:val="none"/>
        </w:rPr>
      </w:pPr>
      <w:r>
        <w:rPr>
          <w:rFonts w:hint="eastAsia" w:ascii="仿宋_GB2312" w:hAnsi="仿宋" w:cs="宋体"/>
          <w:b/>
          <w:kern w:val="0"/>
          <w:szCs w:val="28"/>
        </w:rPr>
        <w:t>绩效目标明确性：</w:t>
      </w:r>
      <w:r>
        <w:rPr>
          <w:rFonts w:hint="eastAsia" w:ascii="仿宋_GB2312" w:hAnsi="仿宋" w:cs="宋体"/>
          <w:b/>
          <w:kern w:val="0"/>
          <w:szCs w:val="28"/>
          <w:lang w:val="en-US" w:eastAsia="zh-CN"/>
        </w:rPr>
        <w:t>项目</w:t>
      </w:r>
      <w:r>
        <w:rPr>
          <w:rFonts w:hint="eastAsia" w:ascii="仿宋_GB2312" w:hAnsi="仿宋" w:cs="宋体"/>
          <w:kern w:val="0"/>
          <w:szCs w:val="28"/>
          <w:highlight w:val="none"/>
        </w:rPr>
        <w:t>目标已细化为具体的绩效指标</w:t>
      </w:r>
      <w:r>
        <w:rPr>
          <w:rFonts w:hint="eastAsia" w:ascii="仿宋_GB2312" w:hAnsi="仿宋" w:cs="宋体"/>
          <w:kern w:val="0"/>
          <w:szCs w:val="28"/>
          <w:highlight w:val="none"/>
          <w:lang w:eastAsia="zh-CN"/>
        </w:rPr>
        <w:t>：</w:t>
      </w:r>
      <w:r>
        <w:rPr>
          <w:rFonts w:hint="eastAsia" w:ascii="仿宋_GB2312" w:hAnsi="仿宋" w:cs="宋体"/>
          <w:kern w:val="0"/>
          <w:szCs w:val="28"/>
          <w:highlight w:val="none"/>
          <w:lang w:val="en-US" w:eastAsia="zh-CN"/>
        </w:rPr>
        <w:t>赴基层演出场次、驻场演出场次、惠民演出场次、演出质量完成率、演出完成时间、项目预算控制率、社会效益指标、群众满意度</w:t>
      </w:r>
      <w:r>
        <w:rPr>
          <w:rFonts w:hint="eastAsia" w:ascii="仿宋_GB2312" w:hAnsi="仿宋" w:cs="宋体"/>
          <w:kern w:val="0"/>
          <w:szCs w:val="28"/>
          <w:highlight w:val="none"/>
        </w:rPr>
        <w:t>，可通过数量指标、质量指标、时效指标和成本指标予以量化</w:t>
      </w:r>
      <w:r>
        <w:rPr>
          <w:rFonts w:hint="eastAsia" w:ascii="仿宋_GB2312" w:hAnsi="仿宋" w:cs="宋体"/>
          <w:kern w:val="0"/>
          <w:szCs w:val="28"/>
          <w:highlight w:val="none"/>
          <w:lang w:eastAsia="zh-CN"/>
        </w:rPr>
        <w:t>，</w:t>
      </w:r>
      <w:r>
        <w:rPr>
          <w:rFonts w:hint="eastAsia" w:ascii="仿宋_GB2312" w:hAnsi="仿宋" w:cs="宋体"/>
          <w:kern w:val="0"/>
          <w:szCs w:val="28"/>
          <w:highlight w:val="none"/>
        </w:rPr>
        <w:t>并具有确切的评价标准，且指标设定均与目标相关。各项指标均能在现实条件下收集到相关数据进行佐证（通过</w:t>
      </w:r>
      <w:r>
        <w:rPr>
          <w:rFonts w:hint="eastAsia" w:ascii="仿宋_GB2312" w:hAnsi="仿宋" w:cs="宋体"/>
          <w:kern w:val="0"/>
          <w:szCs w:val="28"/>
          <w:highlight w:val="none"/>
          <w:lang w:val="en-US" w:eastAsia="zh-CN"/>
        </w:rPr>
        <w:t>演出剧照、场次数据统计、媒体报道宣传、群众问卷调查等内容</w:t>
      </w:r>
      <w:r>
        <w:rPr>
          <w:rFonts w:hint="eastAsia" w:ascii="仿宋_GB2312" w:hAnsi="仿宋" w:cs="宋体"/>
          <w:kern w:val="0"/>
          <w:szCs w:val="28"/>
          <w:highlight w:val="none"/>
        </w:rPr>
        <w:t>），并与当年项目年度计划相对应，故绩效目标明确性指标得分</w:t>
      </w:r>
      <w:r>
        <w:rPr>
          <w:rFonts w:ascii="仿宋_GB2312" w:hAnsi="仿宋" w:cs="宋体"/>
          <w:kern w:val="0"/>
          <w:szCs w:val="28"/>
          <w:highlight w:val="none"/>
        </w:rPr>
        <w:t>3</w:t>
      </w:r>
      <w:r>
        <w:rPr>
          <w:rFonts w:hint="eastAsia" w:ascii="仿宋_GB2312" w:hAnsi="仿宋" w:cs="宋体"/>
          <w:kern w:val="0"/>
          <w:szCs w:val="28"/>
          <w:highlight w:val="none"/>
        </w:rPr>
        <w:t>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6</w:t>
      </w:r>
      <w:r>
        <w:rPr>
          <w:rFonts w:hint="eastAsia" w:ascii="仿宋_GB2312" w:hAnsi="仿宋" w:cs="宋体"/>
          <w:b/>
          <w:kern w:val="0"/>
          <w:szCs w:val="28"/>
        </w:rPr>
        <w:t>分，得分</w:t>
      </w:r>
      <w:r>
        <w:rPr>
          <w:rFonts w:hint="eastAsia" w:ascii="仿宋_GB2312" w:hAnsi="仿宋" w:cs="宋体"/>
          <w:b/>
          <w:kern w:val="0"/>
          <w:szCs w:val="28"/>
          <w:lang w:val="en-US" w:eastAsia="zh-CN"/>
        </w:rPr>
        <w:t>6</w:t>
      </w:r>
      <w:r>
        <w:rPr>
          <w:rFonts w:hint="eastAsia" w:ascii="仿宋_GB2312" w:hAnsi="仿宋" w:cs="宋体"/>
          <w:b/>
          <w:kern w:val="0"/>
          <w:szCs w:val="28"/>
        </w:rPr>
        <w:t>分。</w:t>
      </w:r>
    </w:p>
    <w:p>
      <w:pPr>
        <w:pStyle w:val="4"/>
        <w:ind w:firstLine="643"/>
      </w:pPr>
      <w:bookmarkStart w:id="39" w:name="_Toc165277244"/>
      <w:r>
        <w:rPr>
          <w:rFonts w:hint="eastAsia"/>
        </w:rPr>
        <w:t>3.资金投入</w:t>
      </w:r>
      <w:bookmarkEnd w:id="39"/>
    </w:p>
    <w:p>
      <w:pPr>
        <w:autoSpaceDE w:val="0"/>
        <w:spacing w:line="600" w:lineRule="exact"/>
        <w:ind w:firstLine="562"/>
        <w:rPr>
          <w:rFonts w:ascii="仿宋_GB2312" w:hAnsi="仿宋" w:cs="宋体"/>
          <w:bCs/>
          <w:kern w:val="0"/>
          <w:szCs w:val="28"/>
          <w:highlight w:val="none"/>
        </w:rPr>
      </w:pPr>
      <w:r>
        <w:rPr>
          <w:rFonts w:hint="eastAsia" w:ascii="仿宋_GB2312" w:hAnsi="仿宋" w:cs="宋体"/>
          <w:b/>
          <w:kern w:val="0"/>
          <w:szCs w:val="28"/>
        </w:rPr>
        <w:t>预算编制科学性：</w:t>
      </w:r>
      <w:r>
        <w:rPr>
          <w:rFonts w:hint="eastAsia" w:ascii="仿宋_GB2312" w:hAnsi="仿宋" w:cs="宋体"/>
          <w:b/>
          <w:kern w:val="0"/>
          <w:szCs w:val="28"/>
          <w:lang w:val="en-US" w:eastAsia="zh-CN"/>
        </w:rPr>
        <w:t>根据自治区文化和旅游厅工作安排，秦剧团赴南疆开展“戏曲进乡村”演出工作任务，场次201场，每场经费0.5万元，</w:t>
      </w:r>
      <w:r>
        <w:rPr>
          <w:rFonts w:hint="eastAsia" w:ascii="仿宋_GB2312" w:hAnsi="仿宋" w:cs="宋体"/>
          <w:b w:val="0"/>
          <w:bCs/>
          <w:kern w:val="0"/>
          <w:szCs w:val="28"/>
          <w:highlight w:val="none"/>
          <w:lang w:val="en-US" w:eastAsia="zh-CN"/>
        </w:rPr>
        <w:t>用于戏曲进乡村演职员机票、住宿费、伙食补助、车辆及设备租赁费等共100.5万元，预算编制科学</w:t>
      </w:r>
      <w:r>
        <w:rPr>
          <w:rFonts w:hint="eastAsia" w:ascii="仿宋_GB2312" w:hAnsi="仿宋" w:cs="宋体"/>
          <w:b w:val="0"/>
          <w:bCs/>
          <w:kern w:val="0"/>
          <w:szCs w:val="28"/>
          <w:highlight w:val="none"/>
        </w:rPr>
        <w:t>。</w:t>
      </w:r>
      <w:r>
        <w:rPr>
          <w:rFonts w:hint="eastAsia" w:ascii="仿宋_GB2312" w:hAnsi="仿宋" w:cs="宋体"/>
          <w:kern w:val="0"/>
          <w:szCs w:val="28"/>
          <w:highlight w:val="none"/>
        </w:rPr>
        <w:t>故预算编制科学性指标得分</w:t>
      </w:r>
      <w:r>
        <w:rPr>
          <w:rFonts w:ascii="仿宋_GB2312" w:hAnsi="仿宋" w:cs="宋体"/>
          <w:kern w:val="0"/>
          <w:szCs w:val="28"/>
          <w:highlight w:val="none"/>
        </w:rPr>
        <w:t>3</w:t>
      </w:r>
      <w:r>
        <w:rPr>
          <w:rFonts w:hint="eastAsia" w:ascii="仿宋_GB2312" w:hAnsi="仿宋" w:cs="宋体"/>
          <w:kern w:val="0"/>
          <w:szCs w:val="28"/>
          <w:highlight w:val="none"/>
        </w:rPr>
        <w:t>分。</w:t>
      </w:r>
    </w:p>
    <w:p>
      <w:pPr>
        <w:spacing w:line="360" w:lineRule="auto"/>
        <w:ind w:firstLine="562"/>
        <w:rPr>
          <w:highlight w:val="none"/>
        </w:rPr>
      </w:pPr>
      <w:r>
        <w:rPr>
          <w:rFonts w:hint="eastAsia"/>
          <w:b/>
          <w:bCs/>
          <w:highlight w:val="none"/>
        </w:rPr>
        <w:t>资金分配合理性</w:t>
      </w:r>
      <w:r>
        <w:rPr>
          <w:rFonts w:hint="eastAsia"/>
          <w:highlight w:val="none"/>
        </w:rPr>
        <w:t>：</w:t>
      </w:r>
      <w:r>
        <w:rPr>
          <w:rFonts w:hint="eastAsia"/>
          <w:sz w:val="32"/>
          <w:szCs w:val="24"/>
          <w:highlight w:val="none"/>
          <w:lang w:val="en-US" w:eastAsia="zh-CN"/>
        </w:rPr>
        <w:t>根据</w:t>
      </w:r>
      <w:r>
        <w:rPr>
          <w:rFonts w:hint="eastAsia"/>
          <w:highlight w:val="none"/>
          <w:lang w:val="en-US" w:eastAsia="zh-CN"/>
        </w:rPr>
        <w:t>《</w:t>
      </w:r>
      <w:r>
        <w:rPr>
          <w:rFonts w:hint="eastAsia" w:ascii="仿宋_GB2312" w:hAnsi="仿宋_GB2312" w:eastAsia="仿宋_GB2312" w:cs="仿宋_GB2312"/>
          <w:color w:val="000000"/>
          <w:spacing w:val="0"/>
          <w:w w:val="100"/>
          <w:position w:val="0"/>
          <w:sz w:val="32"/>
          <w:szCs w:val="32"/>
          <w:highlight w:val="none"/>
          <w:lang w:val="en-US" w:eastAsia="zh-CN"/>
        </w:rPr>
        <w:t>关于下达2023年中央补助地方公共文化服务体系建设补助资金预算的通知》下达2023年中央补助地方公共文化服务体系建设补助资金预算项目</w:t>
      </w:r>
      <w:r>
        <w:rPr>
          <w:rFonts w:hint="eastAsia" w:ascii="仿宋_GB2312" w:hAnsi="仿宋_GB2312" w:cs="仿宋_GB2312"/>
          <w:color w:val="000000"/>
          <w:spacing w:val="0"/>
          <w:w w:val="100"/>
          <w:position w:val="0"/>
          <w:sz w:val="32"/>
          <w:szCs w:val="32"/>
          <w:highlight w:val="none"/>
          <w:lang w:val="en-US" w:eastAsia="zh-CN"/>
        </w:rPr>
        <w:t>-戏曲公益性演出（戏曲进乡村）乌财科教</w:t>
      </w:r>
      <w:r>
        <w:rPr>
          <w:rFonts w:hint="eastAsia" w:ascii="仿宋_GB2312" w:hAnsi="仿宋_GB2312" w:eastAsia="仿宋_GB2312" w:cs="仿宋_GB2312"/>
          <w:color w:val="000000"/>
          <w:spacing w:val="0"/>
          <w:w w:val="100"/>
          <w:position w:val="0"/>
          <w:sz w:val="32"/>
          <w:szCs w:val="32"/>
          <w:highlight w:val="none"/>
          <w:lang w:val="en-US" w:eastAsia="zh-CN"/>
        </w:rPr>
        <w:t>〔202</w:t>
      </w:r>
      <w:r>
        <w:rPr>
          <w:rFonts w:hint="eastAsia" w:ascii="仿宋_GB2312" w:hAnsi="仿宋_GB2312" w:cs="仿宋_GB2312"/>
          <w:color w:val="000000"/>
          <w:spacing w:val="0"/>
          <w:w w:val="100"/>
          <w:position w:val="0"/>
          <w:sz w:val="32"/>
          <w:szCs w:val="32"/>
          <w:highlight w:val="none"/>
          <w:lang w:val="en-US" w:eastAsia="zh-CN"/>
        </w:rPr>
        <w:t>3</w:t>
      </w:r>
      <w:r>
        <w:rPr>
          <w:rFonts w:hint="eastAsia" w:ascii="仿宋_GB2312" w:hAnsi="仿宋_GB2312" w:eastAsia="仿宋_GB2312" w:cs="仿宋_GB2312"/>
          <w:color w:val="000000"/>
          <w:spacing w:val="0"/>
          <w:w w:val="100"/>
          <w:position w:val="0"/>
          <w:sz w:val="32"/>
          <w:szCs w:val="32"/>
          <w:highlight w:val="none"/>
          <w:lang w:val="en-US" w:eastAsia="zh-CN"/>
        </w:rPr>
        <w:t>〕</w:t>
      </w:r>
      <w:r>
        <w:rPr>
          <w:rFonts w:hint="eastAsia" w:ascii="仿宋_GB2312" w:hAnsi="仿宋_GB2312" w:cs="仿宋_GB2312"/>
          <w:color w:val="000000"/>
          <w:spacing w:val="0"/>
          <w:w w:val="100"/>
          <w:position w:val="0"/>
          <w:sz w:val="32"/>
          <w:szCs w:val="32"/>
          <w:highlight w:val="none"/>
          <w:lang w:val="en-US" w:eastAsia="zh-CN"/>
        </w:rPr>
        <w:t>3</w:t>
      </w:r>
      <w:r>
        <w:rPr>
          <w:rFonts w:hint="eastAsia" w:ascii="仿宋_GB2312" w:hAnsi="仿宋_GB2312" w:eastAsia="仿宋_GB2312" w:cs="仿宋_GB2312"/>
          <w:color w:val="000000"/>
          <w:spacing w:val="0"/>
          <w:w w:val="100"/>
          <w:position w:val="0"/>
          <w:sz w:val="32"/>
          <w:szCs w:val="32"/>
          <w:highlight w:val="none"/>
          <w:lang w:val="en-US" w:eastAsia="zh-CN"/>
        </w:rPr>
        <w:t>8号</w:t>
      </w:r>
      <w:r>
        <w:rPr>
          <w:rFonts w:hint="eastAsia" w:ascii="仿宋_GB2312" w:hAnsi="仿宋_GB2312" w:cs="仿宋_GB2312"/>
          <w:color w:val="000000"/>
          <w:spacing w:val="0"/>
          <w:w w:val="100"/>
          <w:position w:val="0"/>
          <w:sz w:val="32"/>
          <w:szCs w:val="32"/>
          <w:highlight w:val="none"/>
          <w:lang w:val="en-US" w:eastAsia="zh-CN"/>
        </w:rPr>
        <w:t>，下达</w:t>
      </w:r>
      <w:r>
        <w:rPr>
          <w:rFonts w:hint="eastAsia"/>
          <w:sz w:val="32"/>
          <w:szCs w:val="24"/>
          <w:highlight w:val="none"/>
          <w:lang w:val="en-US" w:eastAsia="zh-CN"/>
        </w:rPr>
        <w:t>项目资金总额为</w:t>
      </w:r>
      <w:r>
        <w:rPr>
          <w:rFonts w:hint="eastAsia" w:ascii="仿宋_GB2312" w:hAnsi="仿宋" w:cs="宋体"/>
          <w:b w:val="0"/>
          <w:bCs/>
          <w:kern w:val="0"/>
          <w:sz w:val="32"/>
          <w:szCs w:val="32"/>
          <w:highlight w:val="none"/>
          <w:lang w:val="en-US" w:eastAsia="zh-CN"/>
        </w:rPr>
        <w:t>100.5万</w:t>
      </w:r>
      <w:r>
        <w:rPr>
          <w:rFonts w:hint="eastAsia"/>
          <w:sz w:val="32"/>
          <w:szCs w:val="24"/>
          <w:highlight w:val="none"/>
          <w:lang w:val="en-US" w:eastAsia="zh-CN"/>
        </w:rPr>
        <w:t>元，按计划支付给对应服务单位，预算分配合理</w:t>
      </w:r>
      <w:r>
        <w:rPr>
          <w:rFonts w:hint="eastAsia" w:ascii="仿宋_GB2312" w:hAnsi="仿宋" w:cs="宋体"/>
          <w:b/>
          <w:kern w:val="0"/>
          <w:szCs w:val="28"/>
          <w:highlight w:val="none"/>
        </w:rPr>
        <w:t>。</w:t>
      </w:r>
      <w:r>
        <w:rPr>
          <w:rFonts w:hint="eastAsia" w:ascii="仿宋_GB2312" w:hAnsi="仿宋" w:cs="宋体"/>
          <w:kern w:val="0"/>
          <w:szCs w:val="28"/>
          <w:highlight w:val="none"/>
        </w:rPr>
        <w:t>故资金分配合理性指标得分</w:t>
      </w:r>
      <w:r>
        <w:rPr>
          <w:rFonts w:ascii="仿宋_GB2312" w:hAnsi="仿宋" w:cs="宋体"/>
          <w:kern w:val="0"/>
          <w:szCs w:val="28"/>
          <w:highlight w:val="none"/>
        </w:rPr>
        <w:t>3</w:t>
      </w:r>
      <w:r>
        <w:rPr>
          <w:rFonts w:hint="eastAsia" w:ascii="仿宋_GB2312" w:hAnsi="仿宋" w:cs="宋体"/>
          <w:kern w:val="0"/>
          <w:szCs w:val="28"/>
          <w:highlight w:val="none"/>
        </w:rPr>
        <w:t>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6</w:t>
      </w:r>
      <w:r>
        <w:rPr>
          <w:rFonts w:hint="eastAsia" w:ascii="仿宋_GB2312" w:hAnsi="仿宋" w:cs="宋体"/>
          <w:b/>
          <w:kern w:val="0"/>
          <w:szCs w:val="28"/>
        </w:rPr>
        <w:t>分，得分</w:t>
      </w:r>
      <w:r>
        <w:rPr>
          <w:rFonts w:hint="eastAsia" w:ascii="仿宋_GB2312" w:hAnsi="仿宋" w:cs="宋体"/>
          <w:b/>
          <w:kern w:val="0"/>
          <w:szCs w:val="28"/>
          <w:lang w:val="en-US" w:eastAsia="zh-CN"/>
        </w:rPr>
        <w:t>6</w:t>
      </w:r>
      <w:r>
        <w:rPr>
          <w:rFonts w:hint="eastAsia" w:ascii="仿宋_GB2312" w:hAnsi="仿宋" w:cs="宋体"/>
          <w:b/>
          <w:kern w:val="0"/>
          <w:szCs w:val="28"/>
        </w:rPr>
        <w:t>分。</w:t>
      </w:r>
    </w:p>
    <w:p>
      <w:pPr>
        <w:pStyle w:val="3"/>
        <w:ind w:firstLine="643"/>
        <w:rPr>
          <w:rFonts w:ascii="仿宋" w:hAnsi="仿宋" w:eastAsia="仿宋"/>
          <w:lang w:bidi="en-US"/>
        </w:rPr>
      </w:pPr>
      <w:bookmarkStart w:id="40" w:name="_Toc67911613"/>
      <w:bookmarkStart w:id="41" w:name="_Toc165277245"/>
      <w:r>
        <w:rPr>
          <w:rFonts w:hint="eastAsia" w:ascii="仿宋" w:hAnsi="仿宋" w:eastAsia="仿宋"/>
          <w:lang w:bidi="en-US"/>
        </w:rPr>
        <w:t>（二）项目过程情况</w:t>
      </w:r>
      <w:bookmarkEnd w:id="40"/>
      <w:bookmarkEnd w:id="41"/>
    </w:p>
    <w:p>
      <w:pPr>
        <w:spacing w:line="360" w:lineRule="auto"/>
        <w:ind w:firstLine="560"/>
        <w:rPr>
          <w:rFonts w:ascii="仿宋_GB2312"/>
          <w:szCs w:val="28"/>
        </w:rPr>
      </w:pPr>
      <w:r>
        <w:rPr>
          <w:rFonts w:hint="eastAsia" w:ascii="仿宋_GB2312"/>
          <w:szCs w:val="28"/>
        </w:rPr>
        <w:t>项目过程指标由2个二级指标和</w:t>
      </w:r>
      <w:r>
        <w:rPr>
          <w:rFonts w:ascii="仿宋_GB2312"/>
          <w:szCs w:val="28"/>
        </w:rPr>
        <w:t>5</w:t>
      </w:r>
      <w:r>
        <w:rPr>
          <w:rFonts w:hint="eastAsia" w:ascii="仿宋_GB2312"/>
          <w:szCs w:val="28"/>
        </w:rPr>
        <w:t>个三级指标构成，权重为</w:t>
      </w:r>
      <w:r>
        <w:rPr>
          <w:rFonts w:ascii="仿宋_GB2312"/>
          <w:szCs w:val="28"/>
        </w:rPr>
        <w:t>20</w:t>
      </w:r>
      <w:r>
        <w:rPr>
          <w:rFonts w:hint="eastAsia" w:ascii="仿宋_GB2312"/>
          <w:szCs w:val="28"/>
        </w:rPr>
        <w:t>分，实际得分</w:t>
      </w:r>
      <w:r>
        <w:rPr>
          <w:rFonts w:hint="eastAsia" w:ascii="仿宋_GB2312"/>
          <w:szCs w:val="28"/>
          <w:lang w:val="en-US" w:eastAsia="zh-CN"/>
        </w:rPr>
        <w:t>20</w:t>
      </w:r>
      <w:r>
        <w:rPr>
          <w:rFonts w:hint="eastAsia" w:ascii="仿宋_GB2312"/>
          <w:szCs w:val="28"/>
        </w:rPr>
        <w:t>分。</w:t>
      </w:r>
    </w:p>
    <w:p>
      <w:pPr>
        <w:pStyle w:val="4"/>
        <w:ind w:firstLine="643"/>
      </w:pPr>
      <w:bookmarkStart w:id="42" w:name="_Toc165277246"/>
      <w:r>
        <w:t>1.</w:t>
      </w:r>
      <w:r>
        <w:rPr>
          <w:rFonts w:hint="eastAsia"/>
        </w:rPr>
        <w:t>资金管理</w:t>
      </w:r>
      <w:bookmarkEnd w:id="42"/>
    </w:p>
    <w:p>
      <w:pPr>
        <w:spacing w:line="360" w:lineRule="auto"/>
        <w:ind w:firstLine="562"/>
        <w:rPr>
          <w:rFonts w:ascii="仿宋_GB2312"/>
          <w:szCs w:val="28"/>
        </w:rPr>
      </w:pPr>
      <w:r>
        <w:rPr>
          <w:rFonts w:hint="eastAsia" w:ascii="仿宋_GB2312"/>
          <w:b/>
          <w:bCs/>
          <w:szCs w:val="28"/>
        </w:rPr>
        <w:t>资金到位率：</w:t>
      </w:r>
      <w:r>
        <w:rPr>
          <w:rFonts w:hint="eastAsia" w:ascii="仿宋_GB2312"/>
          <w:b/>
          <w:bCs/>
          <w:szCs w:val="28"/>
          <w:lang w:val="en-US" w:eastAsia="zh-CN"/>
        </w:rPr>
        <w:t>批复数100.5，资金到位数100.5，</w:t>
      </w:r>
      <w:r>
        <w:rPr>
          <w:rFonts w:hint="eastAsia" w:ascii="仿宋_GB2312" w:hAnsi="仿宋" w:cs="宋体"/>
          <w:b w:val="0"/>
          <w:bCs/>
          <w:kern w:val="0"/>
          <w:szCs w:val="28"/>
          <w:lang w:val="en-US" w:eastAsia="zh-CN"/>
        </w:rPr>
        <w:t>该项目资金到位率为100%</w:t>
      </w:r>
      <w:r>
        <w:rPr>
          <w:rFonts w:hint="eastAsia" w:ascii="仿宋_GB2312" w:hAnsi="仿宋" w:cs="宋体"/>
          <w:b/>
          <w:kern w:val="0"/>
          <w:szCs w:val="28"/>
        </w:rPr>
        <w:t>。</w:t>
      </w:r>
      <w:r>
        <w:rPr>
          <w:rFonts w:hint="eastAsia" w:ascii="仿宋_GB2312" w:hAnsi="仿宋" w:cs="宋体"/>
          <w:kern w:val="0"/>
          <w:szCs w:val="28"/>
        </w:rPr>
        <w:t>故资金到位率指标得分</w:t>
      </w:r>
      <w:r>
        <w:rPr>
          <w:rFonts w:hint="eastAsia" w:ascii="仿宋_GB2312" w:hAnsi="仿宋" w:cs="宋体"/>
          <w:kern w:val="0"/>
          <w:szCs w:val="28"/>
          <w:lang w:val="en-US" w:eastAsia="zh-CN"/>
        </w:rPr>
        <w:t>6</w:t>
      </w:r>
      <w:r>
        <w:rPr>
          <w:rFonts w:hint="eastAsia" w:ascii="仿宋_GB2312" w:hAnsi="仿宋" w:cs="宋体"/>
          <w:kern w:val="0"/>
          <w:szCs w:val="28"/>
        </w:rPr>
        <w:t>分。</w:t>
      </w:r>
    </w:p>
    <w:p>
      <w:pPr>
        <w:spacing w:line="360" w:lineRule="auto"/>
        <w:ind w:firstLine="560"/>
        <w:rPr>
          <w:rFonts w:ascii="仿宋_GB2312"/>
          <w:szCs w:val="28"/>
        </w:rPr>
      </w:pPr>
    </w:p>
    <w:p>
      <w:pPr>
        <w:spacing w:line="360" w:lineRule="auto"/>
        <w:ind w:firstLine="562"/>
        <w:rPr>
          <w:rFonts w:ascii="仿宋_GB2312"/>
          <w:b/>
          <w:bCs/>
          <w:szCs w:val="28"/>
        </w:rPr>
      </w:pPr>
      <w:r>
        <w:rPr>
          <w:rFonts w:hint="eastAsia" w:ascii="仿宋_GB2312"/>
          <w:b/>
          <w:bCs/>
          <w:szCs w:val="28"/>
        </w:rPr>
        <w:t>预算执行率：</w:t>
      </w:r>
      <w:r>
        <w:rPr>
          <w:rFonts w:hint="eastAsia" w:ascii="仿宋_GB2312"/>
          <w:b w:val="0"/>
          <w:bCs w:val="0"/>
          <w:szCs w:val="28"/>
          <w:lang w:val="en-US" w:eastAsia="zh-CN"/>
        </w:rPr>
        <w:t>单位</w:t>
      </w:r>
      <w:r>
        <w:rPr>
          <w:rFonts w:hint="eastAsia" w:ascii="仿宋_GB2312" w:hAnsi="仿宋" w:cs="宋体"/>
          <w:b w:val="0"/>
          <w:bCs/>
          <w:kern w:val="0"/>
          <w:szCs w:val="28"/>
          <w:lang w:val="en-US" w:eastAsia="zh-CN"/>
        </w:rPr>
        <w:t>于2023年7月5日支付给中国南方航空股份有限公司新疆分公司3.42万元7月5日支付给中国南方航空股份有限公司新疆分公司0.297万元，7月10日支付给中国南方航空股份有限公司新疆分公司0.09万元，7月17日支付给中国南方航空股份有限公司新疆分公司0.483万元，7月18日支付给公务卡（李敏、）住宿费还款0.7176万元，7月18日支付给公务卡（孟少华）住宿费还款2.2656万元，7月22日支付给公务卡（李敏）住宿费还款2.760809万元，7月24日支付给公务卡（孟少华）住宿费还款1.6344万元，7月27日支付给公务卡（孟少华）住宿费还款2.1816万元，，7月25日支付给新疆锦悦文化有限公司35.5万元，8月1日支付给公务卡（李敏、孟少华）住宿费还款2.995175万元，8月2日支付给中国南方航空股份有限公司新疆分公司3.784万元，8月8日支付给公务卡（李敏、孟少华）住宿费还款3.729万元，8月10日支付给公务卡（孟少华）住宿费还款2.376万元，8月14日支付给公务卡（孟少华）住宿费还款3.4097万元，8月15日支付演职人员下乡村演出伙食补助9.408万元，8月21日支付演职人员下乡村演出伙食补助7.944万元，11月17日支付演职人员下乡村演出伙食补助4.0874万元，11月23日支付给新疆韵合视听文化传媒有限公司6.5万元，11月23日支付演职人员下乡村演出伙食补助4.248万元，12月13日支付新疆鑫海恒通汽车服务有限公司1.75万元，12月19日支付给乌鲁木齐市红双喜搬迁服务中心0.918716万元</w:t>
      </w:r>
      <w:r>
        <w:rPr>
          <w:rFonts w:hint="eastAsia" w:ascii="仿宋_GB2312"/>
          <w:b/>
          <w:bCs/>
          <w:szCs w:val="28"/>
        </w:rPr>
        <w:t>。</w:t>
      </w:r>
      <w:r>
        <w:rPr>
          <w:rFonts w:hint="eastAsia" w:ascii="仿宋_GB2312"/>
          <w:b/>
          <w:bCs/>
          <w:szCs w:val="28"/>
          <w:lang w:val="en-US" w:eastAsia="zh-CN"/>
        </w:rPr>
        <w:t>共100.5万元，</w:t>
      </w:r>
      <w:r>
        <w:rPr>
          <w:rFonts w:hint="eastAsia" w:ascii="仿宋_GB2312"/>
          <w:szCs w:val="28"/>
        </w:rPr>
        <w:t>故预算执行率得分为</w:t>
      </w:r>
      <w:r>
        <w:rPr>
          <w:rFonts w:hint="eastAsia" w:ascii="仿宋_GB2312"/>
          <w:szCs w:val="28"/>
          <w:lang w:val="en-US" w:eastAsia="zh-CN"/>
        </w:rPr>
        <w:t>4</w:t>
      </w:r>
      <w:r>
        <w:rPr>
          <w:rFonts w:hint="eastAsia" w:ascii="仿宋_GB2312"/>
          <w:szCs w:val="28"/>
        </w:rPr>
        <w:t>分。</w:t>
      </w:r>
    </w:p>
    <w:p>
      <w:pPr>
        <w:spacing w:line="360" w:lineRule="auto"/>
        <w:ind w:left="0" w:leftChars="0" w:firstLine="562" w:firstLineChars="200"/>
        <w:rPr>
          <w:rFonts w:ascii="仿宋_GB2312"/>
          <w:szCs w:val="28"/>
        </w:rPr>
      </w:pPr>
      <w:r>
        <w:rPr>
          <w:rFonts w:hint="eastAsia" w:ascii="仿宋_GB2312"/>
          <w:b/>
          <w:bCs/>
          <w:szCs w:val="28"/>
        </w:rPr>
        <w:t>资金使用合规性：</w:t>
      </w:r>
      <w:r>
        <w:rPr>
          <w:rFonts w:hint="eastAsia" w:ascii="仿宋_GB2312"/>
          <w:szCs w:val="28"/>
        </w:rPr>
        <w:t>本项目资金的使用符合</w:t>
      </w:r>
      <w:r>
        <w:rPr>
          <w:rFonts w:hint="eastAsia" w:ascii="仿宋_GB2312"/>
          <w:szCs w:val="28"/>
          <w:lang w:val="en-US" w:eastAsia="zh-CN"/>
        </w:rPr>
        <w:t>乌鲁木齐市秦剧团（新疆秦剧团）财务管理制度</w:t>
      </w:r>
      <w:r>
        <w:rPr>
          <w:rFonts w:hint="eastAsia" w:ascii="仿宋_GB2312"/>
          <w:szCs w:val="28"/>
        </w:rPr>
        <w:t>和</w:t>
      </w:r>
      <w:r>
        <w:rPr>
          <w:rFonts w:hint="eastAsia" w:ascii="仿宋_GB2312"/>
          <w:szCs w:val="28"/>
          <w:lang w:val="en-US" w:eastAsia="zh-CN"/>
        </w:rPr>
        <w:t>乌鲁木齐市文化馆资金</w:t>
      </w:r>
      <w:r>
        <w:rPr>
          <w:rFonts w:hint="eastAsia" w:ascii="仿宋_GB2312"/>
          <w:szCs w:val="28"/>
        </w:rPr>
        <w:t>管理</w:t>
      </w:r>
      <w:r>
        <w:rPr>
          <w:rFonts w:hint="eastAsia" w:ascii="仿宋_GB2312"/>
          <w:szCs w:val="28"/>
          <w:lang w:val="en-US" w:eastAsia="zh-CN"/>
        </w:rPr>
        <w:t>办法</w:t>
      </w:r>
      <w:r>
        <w:rPr>
          <w:rFonts w:hint="eastAsia" w:ascii="仿宋_GB2312"/>
          <w:szCs w:val="28"/>
        </w:rPr>
        <w:t>的规定。同时，资金的拨付有</w:t>
      </w:r>
      <w:r>
        <w:rPr>
          <w:rFonts w:hint="eastAsia" w:ascii="仿宋_GB2312"/>
          <w:szCs w:val="28"/>
          <w:lang w:val="en-US" w:eastAsia="zh-CN"/>
        </w:rPr>
        <w:t>办公室主任、会计及分管财务领导</w:t>
      </w:r>
      <w:r>
        <w:rPr>
          <w:rFonts w:hint="eastAsia" w:ascii="仿宋_GB2312"/>
          <w:szCs w:val="28"/>
        </w:rPr>
        <w:t>审批程序，需要</w:t>
      </w:r>
      <w:r>
        <w:rPr>
          <w:rFonts w:hint="eastAsia" w:ascii="仿宋_GB2312"/>
          <w:szCs w:val="28"/>
          <w:lang w:val="en-US" w:eastAsia="zh-CN"/>
        </w:rPr>
        <w:t>通过政采云的成交通知书，发票，合同，合同审批单，验收单，会议记录等</w:t>
      </w:r>
      <w:r>
        <w:rPr>
          <w:rFonts w:hint="eastAsia" w:ascii="仿宋_GB2312"/>
          <w:szCs w:val="28"/>
        </w:rPr>
        <w:t>手续，符合项目预算批复或合同规定的用途，不存在截留、挤占、挪用、虚列支出等情况。故资金使用合规性得分为3分。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13</w:t>
      </w:r>
      <w:r>
        <w:rPr>
          <w:rFonts w:hint="eastAsia" w:ascii="仿宋_GB2312" w:hAnsi="仿宋" w:cs="宋体"/>
          <w:b/>
          <w:kern w:val="0"/>
          <w:szCs w:val="28"/>
        </w:rPr>
        <w:t>分，得分</w:t>
      </w:r>
      <w:r>
        <w:rPr>
          <w:rFonts w:hint="eastAsia" w:ascii="仿宋_GB2312" w:hAnsi="仿宋" w:cs="宋体"/>
          <w:b/>
          <w:kern w:val="0"/>
          <w:szCs w:val="28"/>
          <w:lang w:val="en-US" w:eastAsia="zh-CN"/>
        </w:rPr>
        <w:t>13</w:t>
      </w:r>
      <w:r>
        <w:rPr>
          <w:rFonts w:hint="eastAsia" w:ascii="仿宋_GB2312" w:hAnsi="仿宋" w:cs="宋体"/>
          <w:b/>
          <w:kern w:val="0"/>
          <w:szCs w:val="28"/>
        </w:rPr>
        <w:t>分。</w:t>
      </w:r>
    </w:p>
    <w:p>
      <w:pPr>
        <w:pStyle w:val="4"/>
        <w:ind w:firstLine="643"/>
      </w:pPr>
      <w:bookmarkStart w:id="43" w:name="_Toc165277247"/>
      <w:r>
        <w:t>2.</w:t>
      </w:r>
      <w:r>
        <w:rPr>
          <w:rFonts w:hint="eastAsia"/>
        </w:rPr>
        <w:t>组织实施</w:t>
      </w:r>
      <w:bookmarkEnd w:id="43"/>
    </w:p>
    <w:p>
      <w:pPr>
        <w:spacing w:line="360" w:lineRule="auto"/>
        <w:ind w:firstLine="562"/>
        <w:rPr>
          <w:rFonts w:ascii="仿宋_GB2312"/>
          <w:szCs w:val="28"/>
        </w:rPr>
      </w:pPr>
      <w:r>
        <w:rPr>
          <w:rFonts w:hint="eastAsia" w:ascii="仿宋_GB2312"/>
          <w:b/>
          <w:bCs/>
          <w:szCs w:val="28"/>
        </w:rPr>
        <w:t>管理制度健全性</w:t>
      </w:r>
      <w:r>
        <w:rPr>
          <w:rFonts w:hint="eastAsia" w:ascii="仿宋_GB2312"/>
          <w:szCs w:val="28"/>
        </w:rPr>
        <w:t>：</w:t>
      </w:r>
      <w:r>
        <w:rPr>
          <w:rFonts w:hint="eastAsia" w:ascii="仿宋_GB2312"/>
          <w:szCs w:val="28"/>
          <w:lang w:val="en-US" w:eastAsia="zh-CN"/>
        </w:rPr>
        <w:t>我团</w:t>
      </w:r>
      <w:r>
        <w:rPr>
          <w:rFonts w:hint="eastAsia" w:ascii="仿宋_GB2312"/>
          <w:szCs w:val="28"/>
        </w:rPr>
        <w:t>已制定相应的</w:t>
      </w:r>
      <w:r>
        <w:rPr>
          <w:rFonts w:hint="eastAsia" w:ascii="仿宋_GB2312"/>
          <w:szCs w:val="28"/>
          <w:lang w:val="en-US" w:eastAsia="zh-CN"/>
        </w:rPr>
        <w:t>乌鲁木齐秦剧团（新疆秦剧团）财务管理制度</w:t>
      </w:r>
      <w:r>
        <w:rPr>
          <w:rFonts w:hint="eastAsia" w:ascii="仿宋_GB2312"/>
          <w:szCs w:val="28"/>
        </w:rPr>
        <w:t>和</w:t>
      </w:r>
      <w:r>
        <w:rPr>
          <w:rFonts w:hint="eastAsia" w:ascii="仿宋_GB2312"/>
          <w:szCs w:val="28"/>
          <w:lang w:val="en-US" w:eastAsia="zh-CN"/>
        </w:rPr>
        <w:t>乌鲁木齐秦剧团（新疆秦剧团）资金</w:t>
      </w:r>
      <w:r>
        <w:rPr>
          <w:rFonts w:hint="eastAsia" w:ascii="仿宋_GB2312"/>
          <w:szCs w:val="28"/>
        </w:rPr>
        <w:t>管理</w:t>
      </w:r>
      <w:r>
        <w:rPr>
          <w:rFonts w:hint="eastAsia" w:ascii="仿宋_GB2312"/>
          <w:szCs w:val="28"/>
          <w:lang w:val="en-US" w:eastAsia="zh-CN"/>
        </w:rPr>
        <w:t>办法</w:t>
      </w:r>
      <w:r>
        <w:rPr>
          <w:rFonts w:hint="eastAsia" w:ascii="仿宋_GB2312"/>
          <w:szCs w:val="28"/>
        </w:rPr>
        <w:t>制度，且制度合法、合规、完整，为项目顺利实施提供重要保障。故管理制度健全性得分为3分。</w:t>
      </w:r>
    </w:p>
    <w:p>
      <w:pPr>
        <w:spacing w:line="360" w:lineRule="auto"/>
        <w:ind w:firstLine="562"/>
        <w:rPr>
          <w:rFonts w:ascii="仿宋_GB2312"/>
          <w:szCs w:val="28"/>
        </w:rPr>
      </w:pPr>
      <w:r>
        <w:rPr>
          <w:rFonts w:hint="eastAsia" w:ascii="仿宋_GB2312"/>
          <w:b/>
          <w:bCs/>
          <w:szCs w:val="28"/>
        </w:rPr>
        <w:t>制度执行有效性：</w:t>
      </w:r>
      <w:r>
        <w:rPr>
          <w:rFonts w:hint="eastAsia" w:ascii="仿宋_GB2312"/>
          <w:szCs w:val="28"/>
        </w:rPr>
        <w:t>根据评价小组核查情况，</w:t>
      </w:r>
      <w:r>
        <w:rPr>
          <w:rFonts w:hint="eastAsia" w:ascii="仿宋_GB2312"/>
          <w:szCs w:val="28"/>
          <w:lang w:val="en-US" w:eastAsia="zh-CN"/>
        </w:rPr>
        <w:t>我团</w:t>
      </w:r>
      <w:r>
        <w:rPr>
          <w:rFonts w:hint="eastAsia" w:ascii="仿宋_GB2312"/>
          <w:szCs w:val="28"/>
        </w:rPr>
        <w:t>严格遵守相关法律法规和相关管理规定，项目调整及支出调整手续完备，整体管理合理有序，项目完成后，及时将会计凭证等相关资料分类归档，制度执行有效。故制度执行有效性指标得分</w:t>
      </w:r>
      <w:r>
        <w:rPr>
          <w:rFonts w:ascii="仿宋_GB2312"/>
          <w:szCs w:val="28"/>
        </w:rPr>
        <w:t>4</w:t>
      </w:r>
      <w:r>
        <w:rPr>
          <w:rFonts w:hint="eastAsia" w:ascii="仿宋_GB2312"/>
          <w:szCs w:val="28"/>
        </w:rPr>
        <w:t>分。</w:t>
      </w:r>
    </w:p>
    <w:p>
      <w:pPr>
        <w:autoSpaceDE w:val="0"/>
        <w:spacing w:line="600" w:lineRule="exact"/>
        <w:ind w:firstLine="562"/>
        <w:rPr>
          <w:rFonts w:ascii="仿宋_GB2312" w:hAnsi="仿宋" w:cs="宋体"/>
          <w:b/>
          <w:kern w:val="0"/>
          <w:szCs w:val="28"/>
        </w:rPr>
      </w:pPr>
      <w:bookmarkStart w:id="44" w:name="_Hlk67670213"/>
      <w:r>
        <w:rPr>
          <w:rFonts w:hint="eastAsia" w:ascii="仿宋_GB2312" w:hAnsi="仿宋" w:cs="宋体"/>
          <w:b/>
          <w:kern w:val="0"/>
          <w:szCs w:val="28"/>
        </w:rPr>
        <w:t>综上，该指标满分</w:t>
      </w:r>
      <w:r>
        <w:rPr>
          <w:rFonts w:ascii="仿宋_GB2312" w:hAnsi="仿宋" w:cs="宋体"/>
          <w:b/>
          <w:kern w:val="0"/>
          <w:szCs w:val="28"/>
        </w:rPr>
        <w:t>7</w:t>
      </w:r>
      <w:r>
        <w:rPr>
          <w:rFonts w:hint="eastAsia" w:ascii="仿宋_GB2312" w:hAnsi="仿宋" w:cs="宋体"/>
          <w:b/>
          <w:kern w:val="0"/>
          <w:szCs w:val="28"/>
        </w:rPr>
        <w:t>分，得分</w:t>
      </w:r>
      <w:r>
        <w:rPr>
          <w:rFonts w:ascii="仿宋_GB2312" w:hAnsi="仿宋" w:cs="宋体"/>
          <w:b/>
          <w:kern w:val="0"/>
          <w:szCs w:val="28"/>
        </w:rPr>
        <w:t>7</w:t>
      </w:r>
      <w:r>
        <w:rPr>
          <w:rFonts w:hint="eastAsia" w:ascii="仿宋_GB2312" w:hAnsi="仿宋" w:cs="宋体"/>
          <w:b/>
          <w:kern w:val="0"/>
          <w:szCs w:val="28"/>
        </w:rPr>
        <w:t>分。</w:t>
      </w:r>
    </w:p>
    <w:bookmarkEnd w:id="44"/>
    <w:p>
      <w:pPr>
        <w:pStyle w:val="3"/>
        <w:ind w:firstLine="643"/>
        <w:rPr>
          <w:rFonts w:ascii="仿宋" w:hAnsi="仿宋" w:eastAsia="仿宋"/>
          <w:lang w:bidi="en-US"/>
        </w:rPr>
      </w:pPr>
      <w:bookmarkStart w:id="45" w:name="_Toc165277248"/>
      <w:bookmarkStart w:id="46" w:name="_Toc67911614"/>
      <w:r>
        <w:rPr>
          <w:rFonts w:hint="eastAsia" w:ascii="仿宋" w:hAnsi="仿宋" w:eastAsia="仿宋"/>
          <w:lang w:bidi="en-US"/>
        </w:rPr>
        <w:t>（三）项目产出情况</w:t>
      </w:r>
      <w:bookmarkEnd w:id="45"/>
      <w:bookmarkEnd w:id="46"/>
    </w:p>
    <w:p>
      <w:pPr>
        <w:spacing w:line="360" w:lineRule="auto"/>
        <w:ind w:firstLine="560"/>
        <w:rPr>
          <w:rFonts w:ascii="仿宋_GB2312"/>
          <w:szCs w:val="28"/>
        </w:rPr>
      </w:pPr>
      <w:r>
        <w:rPr>
          <w:rFonts w:hint="eastAsia" w:ascii="仿宋_GB2312"/>
          <w:szCs w:val="28"/>
        </w:rPr>
        <w:t>项目产出指</w:t>
      </w:r>
      <w:r>
        <w:rPr>
          <w:rFonts w:hint="eastAsia" w:ascii="仿宋_GB2312"/>
          <w:szCs w:val="28"/>
          <w:highlight w:val="none"/>
        </w:rPr>
        <w:t>标由</w:t>
      </w:r>
      <w:r>
        <w:rPr>
          <w:rFonts w:hint="eastAsia" w:ascii="仿宋_GB2312"/>
          <w:szCs w:val="28"/>
          <w:highlight w:val="none"/>
          <w:lang w:val="en-US" w:eastAsia="zh-CN"/>
        </w:rPr>
        <w:t>4</w:t>
      </w:r>
      <w:r>
        <w:rPr>
          <w:rFonts w:hint="eastAsia" w:ascii="仿宋_GB2312"/>
          <w:szCs w:val="28"/>
          <w:highlight w:val="none"/>
        </w:rPr>
        <w:t>个二级指标和</w:t>
      </w:r>
      <w:r>
        <w:rPr>
          <w:rFonts w:hint="eastAsia" w:ascii="仿宋_GB2312"/>
          <w:szCs w:val="28"/>
          <w:highlight w:val="none"/>
          <w:lang w:val="en-US" w:eastAsia="zh-CN"/>
        </w:rPr>
        <w:t>6</w:t>
      </w:r>
      <w:r>
        <w:rPr>
          <w:rFonts w:hint="eastAsia" w:ascii="仿宋_GB2312"/>
          <w:szCs w:val="28"/>
          <w:highlight w:val="none"/>
        </w:rPr>
        <w:t>个三</w:t>
      </w:r>
      <w:r>
        <w:rPr>
          <w:rFonts w:hint="eastAsia" w:ascii="仿宋_GB2312"/>
          <w:szCs w:val="28"/>
        </w:rPr>
        <w:t>级指标构成，权重为</w:t>
      </w:r>
      <w:r>
        <w:rPr>
          <w:rFonts w:hint="eastAsia" w:ascii="仿宋_GB2312"/>
          <w:szCs w:val="28"/>
          <w:lang w:val="en-US" w:eastAsia="zh-CN"/>
        </w:rPr>
        <w:t>40</w:t>
      </w:r>
      <w:r>
        <w:rPr>
          <w:rFonts w:hint="eastAsia" w:ascii="仿宋_GB2312"/>
          <w:szCs w:val="28"/>
        </w:rPr>
        <w:t>分，实际得分</w:t>
      </w:r>
      <w:r>
        <w:rPr>
          <w:rFonts w:hint="eastAsia" w:ascii="仿宋_GB2312"/>
          <w:szCs w:val="28"/>
          <w:lang w:val="en-US" w:eastAsia="zh-CN"/>
        </w:rPr>
        <w:t>48.4</w:t>
      </w:r>
      <w:r>
        <w:rPr>
          <w:rFonts w:hint="eastAsia" w:ascii="仿宋_GB2312"/>
          <w:szCs w:val="28"/>
        </w:rPr>
        <w:t>分。</w:t>
      </w:r>
    </w:p>
    <w:p>
      <w:pPr>
        <w:pStyle w:val="4"/>
        <w:ind w:firstLine="643"/>
      </w:pPr>
      <w:bookmarkStart w:id="47" w:name="_Toc165277249"/>
      <w:r>
        <w:rPr>
          <w:rFonts w:hint="eastAsia"/>
        </w:rPr>
        <w:t>1</w:t>
      </w:r>
      <w:r>
        <w:t>.</w:t>
      </w:r>
      <w:r>
        <w:rPr>
          <w:rFonts w:hint="eastAsia"/>
        </w:rPr>
        <w:t>产出数量</w:t>
      </w:r>
      <w:bookmarkEnd w:id="47"/>
    </w:p>
    <w:p>
      <w:pPr>
        <w:spacing w:line="360" w:lineRule="auto"/>
        <w:ind w:firstLine="560"/>
        <w:rPr>
          <w:rFonts w:hint="eastAsia" w:ascii="仿宋_GB2312" w:eastAsia="仿宋_GB2312"/>
          <w:bCs/>
          <w:szCs w:val="28"/>
          <w:lang w:eastAsia="zh-CN"/>
        </w:rPr>
      </w:pPr>
      <w:r>
        <w:rPr>
          <w:rFonts w:hint="eastAsia" w:ascii="仿宋_GB2312"/>
          <w:bCs/>
          <w:szCs w:val="28"/>
        </w:rPr>
        <w:t>数量指标“</w:t>
      </w:r>
      <w:r>
        <w:rPr>
          <w:rFonts w:hint="eastAsia" w:ascii="仿宋_GB2312"/>
          <w:bCs/>
          <w:szCs w:val="28"/>
          <w:lang w:eastAsia="zh-CN"/>
        </w:rPr>
        <w:t>赴基层演出场次</w:t>
      </w:r>
      <w:r>
        <w:rPr>
          <w:rFonts w:hint="eastAsia" w:ascii="仿宋_GB2312"/>
          <w:bCs/>
          <w:szCs w:val="28"/>
        </w:rPr>
        <w:t>”的目标值是</w:t>
      </w:r>
      <w:r>
        <w:rPr>
          <w:rFonts w:hint="eastAsia" w:ascii="仿宋_GB2312"/>
          <w:bCs/>
          <w:szCs w:val="28"/>
          <w:lang w:val="en-US" w:eastAsia="zh-CN"/>
        </w:rPr>
        <w:t>200场</w:t>
      </w:r>
      <w:r>
        <w:rPr>
          <w:rFonts w:hint="eastAsia" w:ascii="仿宋_GB2312"/>
          <w:bCs/>
          <w:szCs w:val="28"/>
        </w:rPr>
        <w:t>，2023</w:t>
      </w:r>
      <w:r>
        <w:rPr>
          <w:rFonts w:ascii="仿宋_GB2312"/>
          <w:bCs/>
          <w:szCs w:val="28"/>
        </w:rPr>
        <w:t>年度我单位实际完成</w:t>
      </w:r>
      <w:r>
        <w:rPr>
          <w:rFonts w:hint="eastAsia" w:ascii="仿宋_GB2312"/>
          <w:bCs/>
          <w:szCs w:val="28"/>
          <w:lang w:val="en-US" w:eastAsia="zh-CN"/>
        </w:rPr>
        <w:t>216场</w:t>
      </w:r>
      <w:r>
        <w:rPr>
          <w:rFonts w:hint="eastAsia" w:ascii="仿宋_GB2312"/>
          <w:bCs/>
          <w:szCs w:val="28"/>
        </w:rPr>
        <w:t>，原因是</w:t>
      </w:r>
      <w:r>
        <w:rPr>
          <w:rFonts w:hint="eastAsia" w:ascii="仿宋_GB2312"/>
          <w:bCs/>
          <w:szCs w:val="28"/>
          <w:lang w:eastAsia="zh-CN"/>
        </w:rPr>
        <w:t>因观众需求增加演出场次，</w:t>
      </w:r>
      <w:r>
        <w:rPr>
          <w:rFonts w:hint="eastAsia" w:ascii="仿宋_GB2312"/>
          <w:bCs/>
          <w:szCs w:val="28"/>
          <w:lang w:val="en-US" w:eastAsia="zh-CN"/>
        </w:rPr>
        <w:t>实际完成率为100%，得分为10分</w:t>
      </w:r>
      <w:r>
        <w:rPr>
          <w:rFonts w:hint="eastAsia" w:ascii="仿宋_GB2312"/>
          <w:bCs/>
          <w:szCs w:val="28"/>
          <w:lang w:eastAsia="zh-CN"/>
        </w:rPr>
        <w:t>。</w:t>
      </w:r>
    </w:p>
    <w:p>
      <w:pPr>
        <w:spacing w:line="360" w:lineRule="auto"/>
        <w:ind w:firstLine="560"/>
        <w:rPr>
          <w:rFonts w:hint="eastAsia" w:ascii="仿宋_GB2312"/>
          <w:bCs/>
          <w:szCs w:val="28"/>
          <w:lang w:val="en-US" w:eastAsia="zh-CN"/>
        </w:rPr>
      </w:pPr>
      <w:r>
        <w:rPr>
          <w:rFonts w:hint="eastAsia" w:ascii="仿宋_GB2312"/>
          <w:bCs/>
          <w:szCs w:val="28"/>
        </w:rPr>
        <w:t>数量指标“</w:t>
      </w:r>
      <w:r>
        <w:rPr>
          <w:rFonts w:hint="eastAsia" w:ascii="仿宋_GB2312"/>
          <w:bCs/>
          <w:szCs w:val="28"/>
          <w:lang w:eastAsia="zh-CN"/>
        </w:rPr>
        <w:t>驻场演出场次</w:t>
      </w:r>
      <w:r>
        <w:rPr>
          <w:rFonts w:hint="eastAsia" w:ascii="仿宋_GB2312"/>
          <w:bCs/>
          <w:szCs w:val="28"/>
        </w:rPr>
        <w:t>”的目标值是</w:t>
      </w:r>
      <w:r>
        <w:rPr>
          <w:rFonts w:hint="eastAsia" w:ascii="仿宋_GB2312"/>
          <w:bCs/>
          <w:szCs w:val="28"/>
          <w:lang w:val="en-US" w:eastAsia="zh-CN"/>
        </w:rPr>
        <w:t>50场</w:t>
      </w:r>
      <w:r>
        <w:rPr>
          <w:rFonts w:hint="eastAsia" w:ascii="仿宋_GB2312"/>
          <w:bCs/>
          <w:szCs w:val="28"/>
        </w:rPr>
        <w:t>，</w:t>
      </w:r>
      <w:r>
        <w:rPr>
          <w:rFonts w:ascii="仿宋_GB2312"/>
          <w:bCs/>
          <w:szCs w:val="28"/>
        </w:rPr>
        <w:t>2023年度我单位</w:t>
      </w:r>
      <w:r>
        <w:rPr>
          <w:rFonts w:hint="eastAsia" w:ascii="仿宋_GB2312"/>
          <w:bCs/>
          <w:szCs w:val="28"/>
          <w:lang w:eastAsia="zh-CN"/>
        </w:rPr>
        <w:t>实际完成</w:t>
      </w:r>
      <w:r>
        <w:rPr>
          <w:rFonts w:hint="eastAsia" w:ascii="仿宋_GB2312"/>
          <w:bCs/>
          <w:szCs w:val="28"/>
          <w:lang w:val="en-US" w:eastAsia="zh-CN"/>
        </w:rPr>
        <w:t>41场，原因是2023年7-8月赴南疆戏曲进乡村演出，驻场演出暂停，实际完成率为82%，得分为4.1分。</w:t>
      </w:r>
    </w:p>
    <w:p>
      <w:pPr>
        <w:spacing w:line="360" w:lineRule="auto"/>
        <w:ind w:firstLine="560"/>
        <w:rPr>
          <w:rFonts w:hint="eastAsia" w:ascii="仿宋_GB2312"/>
          <w:bCs/>
          <w:szCs w:val="28"/>
          <w:lang w:val="en-US" w:eastAsia="zh-CN"/>
        </w:rPr>
      </w:pPr>
      <w:r>
        <w:rPr>
          <w:rFonts w:hint="eastAsia" w:ascii="仿宋_GB2312"/>
          <w:bCs/>
          <w:szCs w:val="28"/>
        </w:rPr>
        <w:t>数量指标“</w:t>
      </w:r>
      <w:r>
        <w:rPr>
          <w:rFonts w:hint="eastAsia" w:ascii="仿宋_GB2312"/>
          <w:bCs/>
          <w:szCs w:val="28"/>
          <w:lang w:eastAsia="zh-CN"/>
        </w:rPr>
        <w:t>惠民演出场次</w:t>
      </w:r>
      <w:r>
        <w:rPr>
          <w:rFonts w:hint="eastAsia" w:ascii="仿宋_GB2312"/>
          <w:bCs/>
          <w:szCs w:val="28"/>
        </w:rPr>
        <w:t>”的目标值是</w:t>
      </w:r>
      <w:r>
        <w:rPr>
          <w:rFonts w:hint="eastAsia" w:ascii="仿宋_GB2312"/>
          <w:bCs/>
          <w:szCs w:val="28"/>
          <w:lang w:val="en-US" w:eastAsia="zh-CN"/>
        </w:rPr>
        <w:t>80场</w:t>
      </w:r>
      <w:r>
        <w:rPr>
          <w:rFonts w:hint="eastAsia" w:ascii="仿宋_GB2312"/>
          <w:bCs/>
          <w:szCs w:val="28"/>
        </w:rPr>
        <w:t>，</w:t>
      </w:r>
      <w:r>
        <w:rPr>
          <w:rFonts w:ascii="仿宋_GB2312"/>
          <w:bCs/>
          <w:szCs w:val="28"/>
        </w:rPr>
        <w:t>2023年度我单位</w:t>
      </w:r>
      <w:r>
        <w:rPr>
          <w:rFonts w:hint="eastAsia" w:ascii="仿宋_GB2312"/>
          <w:bCs/>
          <w:szCs w:val="28"/>
          <w:lang w:eastAsia="zh-CN"/>
        </w:rPr>
        <w:t>实际完成</w:t>
      </w:r>
      <w:r>
        <w:rPr>
          <w:rFonts w:hint="eastAsia" w:ascii="仿宋_GB2312"/>
          <w:bCs/>
          <w:szCs w:val="28"/>
          <w:lang w:val="en-US" w:eastAsia="zh-CN"/>
        </w:rPr>
        <w:t>69场，原因是2023年7-8月赴南疆戏曲进乡村演出，惠民演出暂停，实际完成率为86%，得分为4.3分。</w:t>
      </w:r>
    </w:p>
    <w:p>
      <w:pPr>
        <w:spacing w:line="360" w:lineRule="auto"/>
        <w:ind w:firstLine="562"/>
        <w:rPr>
          <w:rFonts w:ascii="仿宋_GB2312"/>
          <w:szCs w:val="28"/>
        </w:rPr>
      </w:pPr>
      <w:r>
        <w:rPr>
          <w:rFonts w:hint="eastAsia" w:ascii="仿宋_GB2312"/>
          <w:szCs w:val="28"/>
        </w:rPr>
        <w:t>故</w:t>
      </w:r>
      <w:r>
        <w:rPr>
          <w:rFonts w:hint="eastAsia" w:ascii="仿宋_GB2312"/>
          <w:szCs w:val="28"/>
          <w:lang w:val="en-US" w:eastAsia="zh-CN"/>
        </w:rPr>
        <w:t>产出数量总</w:t>
      </w:r>
      <w:r>
        <w:rPr>
          <w:rFonts w:hint="eastAsia" w:ascii="仿宋_GB2312"/>
          <w:szCs w:val="28"/>
        </w:rPr>
        <w:t>得分为</w:t>
      </w:r>
      <w:r>
        <w:rPr>
          <w:rFonts w:hint="eastAsia" w:ascii="仿宋_GB2312"/>
          <w:szCs w:val="28"/>
          <w:lang w:val="en-US" w:eastAsia="zh-CN"/>
        </w:rPr>
        <w:t>18.4</w:t>
      </w:r>
      <w:r>
        <w:rPr>
          <w:rFonts w:hint="eastAsia" w:ascii="仿宋_GB2312"/>
          <w:szCs w:val="28"/>
        </w:rPr>
        <w:t>分。</w:t>
      </w:r>
    </w:p>
    <w:p>
      <w:pPr>
        <w:pStyle w:val="4"/>
        <w:ind w:firstLine="643"/>
      </w:pPr>
      <w:bookmarkStart w:id="48" w:name="_Toc165277250"/>
      <w:r>
        <w:rPr>
          <w:rFonts w:hint="eastAsia"/>
        </w:rPr>
        <w:t>2</w:t>
      </w:r>
      <w:r>
        <w:t>.</w:t>
      </w:r>
      <w:r>
        <w:rPr>
          <w:rFonts w:hint="eastAsia"/>
        </w:rPr>
        <w:t>产出质量</w:t>
      </w:r>
      <w:bookmarkEnd w:id="48"/>
    </w:p>
    <w:p>
      <w:pPr>
        <w:spacing w:line="360" w:lineRule="auto"/>
        <w:ind w:firstLine="562"/>
        <w:rPr>
          <w:rFonts w:ascii="仿宋_GB2312"/>
          <w:szCs w:val="28"/>
        </w:rPr>
      </w:pPr>
      <w:r>
        <w:rPr>
          <w:rFonts w:hint="eastAsia" w:ascii="仿宋_GB2312"/>
          <w:b/>
          <w:bCs/>
          <w:szCs w:val="28"/>
          <w:lang w:eastAsia="zh-CN"/>
        </w:rPr>
        <w:t>演出质量完成</w:t>
      </w:r>
      <w:r>
        <w:rPr>
          <w:rFonts w:hint="eastAsia" w:ascii="仿宋_GB2312"/>
          <w:b/>
          <w:bCs/>
          <w:szCs w:val="28"/>
        </w:rPr>
        <w:t>率：</w:t>
      </w:r>
      <w:r>
        <w:rPr>
          <w:rFonts w:hint="eastAsia" w:ascii="仿宋_GB2312"/>
          <w:b/>
          <w:bCs/>
          <w:szCs w:val="28"/>
          <w:lang w:val="en-US" w:eastAsia="zh-CN"/>
        </w:rPr>
        <w:t>我单位演职员按照戏曲进乡村演出活动场次要求，在节目质量及效果有效的完成本次任务，</w:t>
      </w:r>
      <w:r>
        <w:rPr>
          <w:rFonts w:hint="eastAsia" w:ascii="仿宋_GB2312"/>
          <w:color w:val="auto"/>
          <w:szCs w:val="28"/>
          <w:highlight w:val="none"/>
        </w:rPr>
        <w:t>质量达标率得分为</w:t>
      </w:r>
      <w:r>
        <w:rPr>
          <w:rFonts w:hint="eastAsia" w:ascii="仿宋_GB2312"/>
          <w:color w:val="auto"/>
          <w:szCs w:val="28"/>
          <w:highlight w:val="none"/>
          <w:lang w:val="en-US" w:eastAsia="zh-CN"/>
        </w:rPr>
        <w:t>10</w:t>
      </w:r>
      <w:r>
        <w:rPr>
          <w:rFonts w:hint="eastAsia" w:ascii="仿宋_GB2312"/>
          <w:szCs w:val="28"/>
        </w:rPr>
        <w:t>分。</w:t>
      </w:r>
    </w:p>
    <w:p>
      <w:pPr>
        <w:pStyle w:val="4"/>
        <w:ind w:firstLine="643"/>
      </w:pPr>
      <w:bookmarkStart w:id="49" w:name="_Toc165277251"/>
      <w:r>
        <w:rPr>
          <w:rFonts w:hint="eastAsia"/>
        </w:rPr>
        <w:t>3</w:t>
      </w:r>
      <w:r>
        <w:t>.</w:t>
      </w:r>
      <w:r>
        <w:rPr>
          <w:rFonts w:hint="eastAsia"/>
        </w:rPr>
        <w:t>产出时效</w:t>
      </w:r>
      <w:bookmarkEnd w:id="49"/>
    </w:p>
    <w:p>
      <w:pPr>
        <w:spacing w:line="360" w:lineRule="auto"/>
        <w:ind w:firstLine="562"/>
        <w:rPr>
          <w:rFonts w:hint="eastAsia" w:ascii="仿宋_GB2312" w:eastAsia="仿宋_GB2312"/>
          <w:b/>
          <w:bCs/>
          <w:szCs w:val="28"/>
          <w:lang w:val="en-US" w:eastAsia="zh-CN"/>
        </w:rPr>
      </w:pPr>
      <w:r>
        <w:rPr>
          <w:rFonts w:hint="eastAsia" w:ascii="仿宋_GB2312"/>
          <w:b/>
          <w:bCs/>
          <w:szCs w:val="28"/>
          <w:highlight w:val="none"/>
          <w:lang w:eastAsia="zh-CN"/>
        </w:rPr>
        <w:t>演出</w:t>
      </w:r>
      <w:r>
        <w:rPr>
          <w:rFonts w:hint="eastAsia" w:ascii="仿宋_GB2312"/>
          <w:b/>
          <w:bCs/>
          <w:szCs w:val="28"/>
          <w:highlight w:val="none"/>
        </w:rPr>
        <w:t>完成</w:t>
      </w:r>
      <w:r>
        <w:rPr>
          <w:rFonts w:hint="eastAsia" w:ascii="仿宋_GB2312"/>
          <w:b/>
          <w:bCs/>
          <w:szCs w:val="28"/>
          <w:highlight w:val="none"/>
          <w:lang w:val="en-US" w:eastAsia="zh-CN"/>
        </w:rPr>
        <w:t>时间</w:t>
      </w:r>
      <w:r>
        <w:rPr>
          <w:rFonts w:hint="eastAsia" w:ascii="仿宋_GB2312"/>
          <w:b/>
          <w:bCs/>
          <w:szCs w:val="28"/>
          <w:highlight w:val="none"/>
        </w:rPr>
        <w:t>：</w:t>
      </w:r>
      <w:r>
        <w:rPr>
          <w:rFonts w:hint="eastAsia" w:ascii="仿宋_GB2312"/>
          <w:szCs w:val="28"/>
          <w:highlight w:val="none"/>
          <w:lang w:eastAsia="zh-CN"/>
        </w:rPr>
        <w:t>我</w:t>
      </w:r>
      <w:r>
        <w:rPr>
          <w:rFonts w:hint="eastAsia" w:ascii="仿宋_GB2312"/>
          <w:szCs w:val="28"/>
          <w:lang w:eastAsia="zh-CN"/>
        </w:rPr>
        <w:t>单位在</w:t>
      </w:r>
      <w:r>
        <w:rPr>
          <w:rFonts w:hint="eastAsia" w:ascii="仿宋_GB2312"/>
          <w:szCs w:val="28"/>
          <w:lang w:val="en-US" w:eastAsia="zh-CN"/>
        </w:rPr>
        <w:t>2023年11月完成项目。</w:t>
      </w:r>
      <w:r>
        <w:rPr>
          <w:rFonts w:hint="eastAsia" w:ascii="仿宋_GB2312"/>
          <w:b/>
          <w:bCs/>
          <w:szCs w:val="28"/>
        </w:rPr>
        <w:t>及时率：</w:t>
      </w:r>
      <w:r>
        <w:rPr>
          <w:rFonts w:hint="eastAsia" w:ascii="仿宋_GB2312"/>
          <w:b/>
          <w:bCs/>
          <w:szCs w:val="28"/>
          <w:lang w:val="en-US" w:eastAsia="zh-CN"/>
        </w:rPr>
        <w:t>100%</w:t>
      </w:r>
    </w:p>
    <w:p>
      <w:pPr>
        <w:spacing w:line="360" w:lineRule="auto"/>
        <w:ind w:firstLine="560"/>
        <w:rPr>
          <w:rFonts w:ascii="仿宋_GB2312"/>
          <w:szCs w:val="28"/>
        </w:rPr>
      </w:pPr>
      <w:r>
        <w:rPr>
          <w:rFonts w:hint="eastAsia" w:ascii="仿宋_GB2312"/>
          <w:szCs w:val="28"/>
        </w:rPr>
        <w:t>故</w:t>
      </w:r>
      <w:r>
        <w:rPr>
          <w:rFonts w:hint="eastAsia" w:ascii="仿宋_GB2312"/>
          <w:szCs w:val="28"/>
          <w:lang w:eastAsia="zh-CN"/>
        </w:rPr>
        <w:t>演出完成时间</w:t>
      </w:r>
      <w:r>
        <w:rPr>
          <w:rFonts w:hint="eastAsia" w:ascii="仿宋_GB2312"/>
          <w:szCs w:val="28"/>
        </w:rPr>
        <w:t>得分为</w:t>
      </w:r>
      <w:r>
        <w:rPr>
          <w:rFonts w:hint="eastAsia" w:ascii="仿宋_GB2312"/>
          <w:szCs w:val="28"/>
          <w:lang w:val="en-US" w:eastAsia="zh-CN"/>
        </w:rPr>
        <w:t>10</w:t>
      </w:r>
      <w:r>
        <w:rPr>
          <w:rFonts w:hint="eastAsia" w:ascii="仿宋_GB2312"/>
          <w:szCs w:val="28"/>
        </w:rPr>
        <w:t>分。</w:t>
      </w:r>
    </w:p>
    <w:p>
      <w:pPr>
        <w:pStyle w:val="4"/>
        <w:ind w:firstLine="643"/>
      </w:pPr>
      <w:bookmarkStart w:id="50" w:name="_Toc165277252"/>
      <w:r>
        <w:rPr>
          <w:rFonts w:hint="eastAsia"/>
        </w:rPr>
        <w:t>4</w:t>
      </w:r>
      <w:r>
        <w:t>.</w:t>
      </w:r>
      <w:r>
        <w:rPr>
          <w:rFonts w:hint="eastAsia"/>
        </w:rPr>
        <w:t>产出成本</w:t>
      </w:r>
      <w:bookmarkEnd w:id="50"/>
    </w:p>
    <w:p>
      <w:pPr>
        <w:spacing w:line="360" w:lineRule="auto"/>
        <w:ind w:firstLine="562"/>
        <w:rPr>
          <w:rFonts w:ascii="仿宋_GB2312"/>
          <w:b/>
          <w:bCs/>
          <w:szCs w:val="28"/>
        </w:rPr>
      </w:pPr>
      <w:r>
        <w:rPr>
          <w:rFonts w:hint="eastAsia" w:ascii="仿宋_GB2312"/>
          <w:b/>
          <w:bCs/>
          <w:szCs w:val="28"/>
        </w:rPr>
        <w:t>项目预算控制率：</w:t>
      </w:r>
      <w:r>
        <w:rPr>
          <w:rFonts w:hint="eastAsia" w:ascii="仿宋_GB2312"/>
          <w:bCs/>
          <w:szCs w:val="28"/>
        </w:rPr>
        <w:t>本项目实际支出</w:t>
      </w:r>
      <w:r>
        <w:rPr>
          <w:rFonts w:hint="eastAsia" w:ascii="仿宋_GB2312"/>
          <w:bCs/>
          <w:szCs w:val="28"/>
          <w:lang w:val="en-US" w:eastAsia="zh-CN"/>
        </w:rPr>
        <w:t>100.5</w:t>
      </w:r>
      <w:r>
        <w:rPr>
          <w:rFonts w:hint="eastAsia" w:ascii="仿宋_GB2312"/>
          <w:bCs/>
          <w:szCs w:val="28"/>
        </w:rPr>
        <w:t>万元，无超支情况，项目资金全部完成，得分为</w:t>
      </w:r>
      <w:r>
        <w:rPr>
          <w:rFonts w:hint="eastAsia" w:ascii="仿宋_GB2312"/>
          <w:bCs/>
          <w:szCs w:val="28"/>
          <w:lang w:val="en-US" w:eastAsia="zh-CN"/>
        </w:rPr>
        <w:t>10分</w:t>
      </w:r>
      <w:r>
        <w:rPr>
          <w:rFonts w:ascii="仿宋_GB2312"/>
          <w:bCs/>
          <w:szCs w:val="28"/>
        </w:rPr>
        <w:t>。</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综上，该部分指标满分</w:t>
      </w:r>
      <w:r>
        <w:rPr>
          <w:rFonts w:hint="eastAsia" w:ascii="仿宋_GB2312" w:hAnsi="仿宋" w:cs="宋体"/>
          <w:b/>
          <w:kern w:val="0"/>
          <w:szCs w:val="28"/>
          <w:lang w:val="en-US" w:eastAsia="zh-CN"/>
        </w:rPr>
        <w:t>50</w:t>
      </w:r>
      <w:r>
        <w:rPr>
          <w:rFonts w:hint="eastAsia" w:ascii="仿宋_GB2312" w:hAnsi="仿宋" w:cs="宋体"/>
          <w:b/>
          <w:kern w:val="0"/>
          <w:szCs w:val="28"/>
        </w:rPr>
        <w:t>分，得分</w:t>
      </w:r>
      <w:r>
        <w:rPr>
          <w:rFonts w:hint="eastAsia" w:ascii="仿宋_GB2312" w:hAnsi="仿宋" w:cs="宋体"/>
          <w:b/>
          <w:kern w:val="0"/>
          <w:szCs w:val="28"/>
          <w:lang w:val="en-US" w:eastAsia="zh-CN"/>
        </w:rPr>
        <w:t>4</w:t>
      </w:r>
      <w:r>
        <w:rPr>
          <w:rFonts w:hint="eastAsia" w:ascii="仿宋_GB2312"/>
          <w:szCs w:val="28"/>
          <w:lang w:val="en-US" w:eastAsia="zh-CN"/>
        </w:rPr>
        <w:t>8.4</w:t>
      </w:r>
      <w:r>
        <w:rPr>
          <w:rFonts w:hint="eastAsia" w:ascii="仿宋_GB2312" w:hAnsi="仿宋" w:cs="宋体"/>
          <w:b/>
          <w:kern w:val="0"/>
          <w:szCs w:val="28"/>
        </w:rPr>
        <w:t>分。</w:t>
      </w:r>
    </w:p>
    <w:p>
      <w:pPr>
        <w:pStyle w:val="3"/>
        <w:ind w:firstLine="643"/>
        <w:rPr>
          <w:rFonts w:ascii="仿宋" w:hAnsi="仿宋" w:eastAsia="仿宋"/>
          <w:lang w:bidi="en-US"/>
        </w:rPr>
      </w:pPr>
      <w:bookmarkStart w:id="51" w:name="_Toc165277253"/>
      <w:bookmarkStart w:id="52" w:name="_Toc67911615"/>
      <w:r>
        <w:rPr>
          <w:rFonts w:hint="eastAsia" w:ascii="仿宋" w:hAnsi="仿宋" w:eastAsia="仿宋"/>
          <w:lang w:bidi="en-US"/>
        </w:rPr>
        <w:t>（四）项目效益情况</w:t>
      </w:r>
      <w:bookmarkEnd w:id="51"/>
      <w:bookmarkEnd w:id="52"/>
    </w:p>
    <w:p>
      <w:pPr>
        <w:spacing w:line="360" w:lineRule="auto"/>
        <w:ind w:firstLine="560"/>
        <w:rPr>
          <w:rFonts w:ascii="仿宋_GB2312"/>
          <w:szCs w:val="28"/>
        </w:rPr>
      </w:pPr>
      <w:r>
        <w:rPr>
          <w:rFonts w:hint="eastAsia" w:ascii="仿宋_GB2312"/>
          <w:szCs w:val="28"/>
        </w:rPr>
        <w:t>项目效益指标由</w:t>
      </w:r>
      <w:r>
        <w:rPr>
          <w:rFonts w:hint="eastAsia" w:ascii="仿宋_GB2312"/>
          <w:szCs w:val="28"/>
          <w:lang w:val="en-US" w:eastAsia="zh-CN"/>
        </w:rPr>
        <w:t>2</w:t>
      </w:r>
      <w:r>
        <w:rPr>
          <w:rFonts w:hint="eastAsia" w:ascii="仿宋_GB2312"/>
          <w:szCs w:val="28"/>
        </w:rPr>
        <w:t>个二级指标和</w:t>
      </w:r>
      <w:r>
        <w:rPr>
          <w:rFonts w:hint="eastAsia" w:ascii="仿宋_GB2312"/>
          <w:szCs w:val="28"/>
          <w:lang w:val="en-US" w:eastAsia="zh-CN"/>
        </w:rPr>
        <w:t>2</w:t>
      </w:r>
      <w:r>
        <w:rPr>
          <w:rFonts w:hint="eastAsia" w:ascii="仿宋_GB2312"/>
          <w:szCs w:val="28"/>
        </w:rPr>
        <w:t>个三级指标构成，权重为</w:t>
      </w:r>
      <w:r>
        <w:rPr>
          <w:rFonts w:hint="eastAsia" w:ascii="仿宋_GB2312"/>
          <w:szCs w:val="28"/>
          <w:lang w:val="en-US" w:eastAsia="zh-CN"/>
        </w:rPr>
        <w:t>10</w:t>
      </w:r>
      <w:r>
        <w:rPr>
          <w:rFonts w:hint="eastAsia" w:ascii="仿宋_GB2312"/>
          <w:szCs w:val="28"/>
        </w:rPr>
        <w:t>分，实际得分</w:t>
      </w:r>
      <w:r>
        <w:rPr>
          <w:rFonts w:hint="eastAsia" w:ascii="仿宋_GB2312"/>
          <w:szCs w:val="28"/>
          <w:lang w:val="en-US" w:eastAsia="zh-CN"/>
        </w:rPr>
        <w:t>10</w:t>
      </w:r>
      <w:r>
        <w:rPr>
          <w:rFonts w:hint="eastAsia" w:ascii="仿宋_GB2312"/>
          <w:szCs w:val="28"/>
        </w:rPr>
        <w:t>分。</w:t>
      </w:r>
      <w:r>
        <w:rPr>
          <w:rFonts w:ascii="仿宋_GB2312"/>
          <w:szCs w:val="28"/>
        </w:rPr>
        <w:t xml:space="preserve"> </w:t>
      </w:r>
    </w:p>
    <w:p>
      <w:pPr>
        <w:pStyle w:val="4"/>
        <w:ind w:firstLine="643"/>
      </w:pPr>
      <w:bookmarkStart w:id="53" w:name="_Toc165277254"/>
      <w:r>
        <w:rPr>
          <w:rFonts w:hint="eastAsia"/>
        </w:rPr>
        <w:t>1</w:t>
      </w:r>
      <w:r>
        <w:t>.</w:t>
      </w:r>
      <w:r>
        <w:rPr>
          <w:rFonts w:hint="eastAsia"/>
        </w:rPr>
        <w:t>项目效益</w:t>
      </w:r>
      <w:bookmarkEnd w:id="53"/>
    </w:p>
    <w:p>
      <w:pPr>
        <w:spacing w:line="360" w:lineRule="auto"/>
        <w:ind w:firstLine="562"/>
        <w:rPr>
          <w:rFonts w:ascii="仿宋_GB2312"/>
          <w:b/>
          <w:bCs/>
          <w:szCs w:val="28"/>
        </w:rPr>
      </w:pPr>
      <w:r>
        <w:rPr>
          <w:rFonts w:hint="eastAsia" w:ascii="仿宋_GB2312"/>
          <w:b/>
          <w:bCs/>
          <w:szCs w:val="28"/>
        </w:rPr>
        <w:t>（1）实施效益</w:t>
      </w:r>
    </w:p>
    <w:p>
      <w:pPr>
        <w:spacing w:line="360" w:lineRule="auto"/>
        <w:ind w:firstLine="562"/>
        <w:rPr>
          <w:rFonts w:ascii="仿宋_GB2312"/>
          <w:szCs w:val="28"/>
        </w:rPr>
      </w:pPr>
      <w:r>
        <w:rPr>
          <w:rFonts w:hint="eastAsia" w:ascii="仿宋_GB2312"/>
          <w:b/>
          <w:bCs/>
          <w:szCs w:val="28"/>
        </w:rPr>
        <w:t>经济效益指标：</w:t>
      </w:r>
      <w:r>
        <w:rPr>
          <w:rFonts w:hint="eastAsia" w:ascii="仿宋_GB2312"/>
          <w:szCs w:val="28"/>
        </w:rPr>
        <w:t>不适用。</w:t>
      </w:r>
      <w:r>
        <w:rPr>
          <w:rFonts w:ascii="仿宋_GB2312"/>
          <w:szCs w:val="28"/>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仿宋_GB2312"/>
          <w:szCs w:val="28"/>
        </w:rPr>
      </w:pPr>
      <w:r>
        <w:rPr>
          <w:rFonts w:hint="eastAsia" w:ascii="仿宋_GB2312"/>
          <w:b/>
          <w:bCs/>
          <w:szCs w:val="28"/>
        </w:rPr>
        <w:t>社会效益指标</w:t>
      </w:r>
      <w:r>
        <w:rPr>
          <w:rFonts w:hint="eastAsia" w:ascii="仿宋_GB2312"/>
          <w:szCs w:val="28"/>
        </w:rPr>
        <w:t>：评价指标“丰富和活跃地方群众文化生活，完成好政府交办的民生实事，让基层百姓共享文化成果，使人民基本文化权益得到更好保障”，指标值：</w:t>
      </w:r>
      <w:r>
        <w:rPr>
          <w:rFonts w:hint="eastAsia" w:ascii="仿宋_GB2312"/>
          <w:szCs w:val="28"/>
          <w:lang w:eastAsia="zh-CN"/>
        </w:rPr>
        <w:t>有效增强</w:t>
      </w:r>
      <w:r>
        <w:rPr>
          <w:rFonts w:hint="eastAsia" w:ascii="仿宋_GB2312"/>
          <w:szCs w:val="28"/>
        </w:rPr>
        <w:t>，实际完成值：</w:t>
      </w:r>
      <w:r>
        <w:rPr>
          <w:rFonts w:hint="eastAsia" w:ascii="仿宋_GB2312"/>
          <w:szCs w:val="28"/>
          <w:lang w:eastAsia="zh-CN"/>
        </w:rPr>
        <w:t>完全</w:t>
      </w:r>
      <w:r>
        <w:rPr>
          <w:rFonts w:hint="eastAsia" w:ascii="仿宋_GB2312"/>
          <w:szCs w:val="28"/>
        </w:rPr>
        <w:t>达成年度指标。</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_GB2312"/>
          <w:szCs w:val="28"/>
        </w:rPr>
      </w:pPr>
      <w:r>
        <w:rPr>
          <w:rFonts w:hint="eastAsia" w:ascii="仿宋_GB2312"/>
          <w:szCs w:val="28"/>
        </w:rPr>
        <w:t>本项目的实施</w:t>
      </w:r>
      <w:r>
        <w:rPr>
          <w:rFonts w:hint="eastAsia" w:ascii="仿宋_GB2312"/>
          <w:szCs w:val="28"/>
          <w:lang w:eastAsia="zh-CN"/>
        </w:rPr>
        <w:t>：</w:t>
      </w:r>
      <w:r>
        <w:rPr>
          <w:rFonts w:hint="eastAsia" w:ascii="仿宋" w:hAnsi="仿宋" w:eastAsia="仿宋" w:cs="仿宋"/>
          <w:sz w:val="28"/>
          <w:szCs w:val="28"/>
        </w:rPr>
        <w:t>“戏曲进乡村”演出活动，我单位精心准备、提前谋划。坚持以群众喜闻乐见的形式展开，将艺术性、知识性、观赏性和趣味性集于一体。让老百姓在家门口就能体验到中华优秀传统文化的博大精深，共享文化成果，营造良好的乡村文化氛围，让文化惠民工程真正成为群众满意的暖心工程，用寓教于乐的形式丰富了当代人的精神内涵。持文与旅相伴、旅因文而兴的工作理念，进乡村演出工作开展以来，剧团充分发挥文旅资源的优势，扎实推进文化和旅游深度融合发展，组织演职队伍在克孜勒苏柯尔克孜自治州阿图什市圆满完成中国•克州第九届玛纳斯国际文化旅游节</w:t>
      </w:r>
      <w:r>
        <w:rPr>
          <w:rFonts w:hint="eastAsia" w:ascii="仿宋" w:hAnsi="仿宋" w:eastAsia="仿宋" w:cs="仿宋"/>
          <w:sz w:val="28"/>
          <w:szCs w:val="28"/>
          <w:lang w:eastAsia="zh-CN"/>
        </w:rPr>
        <w:t>。</w:t>
      </w:r>
      <w:r>
        <w:rPr>
          <w:rFonts w:hint="eastAsia" w:ascii="仿宋" w:hAnsi="仿宋" w:eastAsia="仿宋" w:cs="仿宋"/>
          <w:sz w:val="32"/>
          <w:szCs w:val="32"/>
        </w:rPr>
        <w:t>每</w:t>
      </w:r>
      <w:r>
        <w:rPr>
          <w:rFonts w:hint="eastAsia" w:ascii="仿宋" w:hAnsi="仿宋" w:eastAsia="仿宋" w:cs="仿宋"/>
          <w:sz w:val="28"/>
          <w:szCs w:val="28"/>
        </w:rPr>
        <w:t>场演出的节目搭配，针对观众群体各异所取，极大丰富和活跃了群众的文化生活，产生了积极的影响。演出内容将宣传习近平新时代中国特色社会主义思想和党的二十大精神与乡村振兴结合起来，用文艺演出的形式将“我们的中国梦、文化进万家”强国复兴有我，习近平新时代中国特色社会主义思想进万家等主题突出，进一步弘扬中华优秀传统文化，铸牢中华民族共同体意识。</w:t>
      </w:r>
    </w:p>
    <w:p>
      <w:pPr>
        <w:spacing w:line="360" w:lineRule="auto"/>
        <w:ind w:firstLine="562"/>
        <w:rPr>
          <w:rFonts w:ascii="仿宋_GB2312"/>
          <w:szCs w:val="28"/>
        </w:rPr>
      </w:pPr>
      <w:r>
        <w:rPr>
          <w:rFonts w:hint="eastAsia" w:ascii="仿宋_GB2312"/>
          <w:b/>
          <w:bCs/>
          <w:szCs w:val="28"/>
        </w:rPr>
        <w:t>生态效益指标</w:t>
      </w:r>
      <w:r>
        <w:rPr>
          <w:rFonts w:hint="eastAsia" w:ascii="仿宋_GB2312"/>
          <w:szCs w:val="28"/>
        </w:rPr>
        <w:t>：不适用。</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hint="eastAsia" w:ascii="仿宋_GB2312" w:hAnsi="仿宋" w:cs="宋体"/>
          <w:b/>
          <w:kern w:val="0"/>
          <w:szCs w:val="28"/>
          <w:lang w:val="en-US" w:eastAsia="zh-CN"/>
        </w:rPr>
        <w:t>5</w:t>
      </w:r>
      <w:r>
        <w:rPr>
          <w:rFonts w:hint="eastAsia" w:ascii="仿宋_GB2312" w:hAnsi="仿宋" w:cs="宋体"/>
          <w:b/>
          <w:kern w:val="0"/>
          <w:szCs w:val="28"/>
        </w:rPr>
        <w:t>分，得分</w:t>
      </w:r>
      <w:r>
        <w:rPr>
          <w:rFonts w:hint="eastAsia" w:ascii="仿宋_GB2312" w:hAnsi="仿宋" w:cs="宋体"/>
          <w:b/>
          <w:kern w:val="0"/>
          <w:szCs w:val="28"/>
          <w:lang w:val="en-US" w:eastAsia="zh-CN"/>
        </w:rPr>
        <w:t>5</w:t>
      </w:r>
      <w:r>
        <w:rPr>
          <w:rFonts w:hint="eastAsia" w:ascii="仿宋_GB2312" w:hAnsi="仿宋" w:cs="宋体"/>
          <w:b/>
          <w:kern w:val="0"/>
          <w:szCs w:val="28"/>
        </w:rPr>
        <w:t>分。</w:t>
      </w:r>
    </w:p>
    <w:p>
      <w:pPr>
        <w:pStyle w:val="4"/>
        <w:ind w:firstLine="643"/>
      </w:pPr>
      <w:bookmarkStart w:id="54" w:name="_Toc165277255"/>
      <w:r>
        <w:t>2. 满意度指标完成情况分析</w:t>
      </w:r>
      <w:bookmarkEnd w:id="54"/>
    </w:p>
    <w:p>
      <w:pPr>
        <w:spacing w:line="360" w:lineRule="auto"/>
        <w:ind w:firstLine="562"/>
        <w:rPr>
          <w:rFonts w:ascii="仿宋_GB2312"/>
          <w:b/>
          <w:bCs/>
          <w:szCs w:val="28"/>
        </w:rPr>
      </w:pPr>
      <w:r>
        <w:rPr>
          <w:rFonts w:hint="eastAsia" w:ascii="仿宋_GB2312"/>
          <w:b/>
          <w:bCs/>
          <w:szCs w:val="28"/>
        </w:rPr>
        <w:t>（</w:t>
      </w:r>
      <w:r>
        <w:rPr>
          <w:rFonts w:ascii="仿宋_GB2312"/>
          <w:b/>
          <w:bCs/>
          <w:szCs w:val="28"/>
        </w:rPr>
        <w:t>1</w:t>
      </w:r>
      <w:r>
        <w:rPr>
          <w:rFonts w:hint="eastAsia" w:ascii="仿宋_GB2312"/>
          <w:b/>
          <w:bCs/>
          <w:szCs w:val="28"/>
        </w:rPr>
        <w:t>）满意度指标</w:t>
      </w:r>
    </w:p>
    <w:p>
      <w:pPr>
        <w:spacing w:line="360" w:lineRule="auto"/>
        <w:ind w:firstLine="562"/>
        <w:rPr>
          <w:rFonts w:ascii="仿宋_GB2312"/>
          <w:szCs w:val="28"/>
        </w:rPr>
      </w:pPr>
      <w:r>
        <w:rPr>
          <w:rFonts w:hint="eastAsia" w:ascii="仿宋_GB2312"/>
          <w:b/>
          <w:bCs/>
          <w:szCs w:val="28"/>
        </w:rPr>
        <w:t>群众满意度：</w:t>
      </w:r>
      <w:r>
        <w:rPr>
          <w:rFonts w:hint="eastAsia" w:ascii="仿宋_GB2312"/>
          <w:szCs w:val="28"/>
        </w:rPr>
        <w:t>评价指标“</w:t>
      </w:r>
      <w:r>
        <w:rPr>
          <w:rFonts w:hint="eastAsia" w:ascii="仿宋_GB2312"/>
          <w:szCs w:val="28"/>
          <w:lang w:eastAsia="zh-CN"/>
        </w:rPr>
        <w:t>群众满意度</w:t>
      </w:r>
      <w:r>
        <w:rPr>
          <w:rFonts w:hint="eastAsia" w:ascii="仿宋_GB2312"/>
          <w:szCs w:val="28"/>
        </w:rPr>
        <w:t>”，指标值：</w:t>
      </w:r>
      <w:r>
        <w:rPr>
          <w:rFonts w:hint="eastAsia" w:ascii="华文宋体" w:hAnsi="华文宋体" w:eastAsia="华文宋体"/>
          <w:szCs w:val="28"/>
        </w:rPr>
        <w:t>≥</w:t>
      </w:r>
      <w:r>
        <w:rPr>
          <w:rFonts w:hint="eastAsia" w:ascii="仿宋_GB2312" w:eastAsia="华文宋体"/>
          <w:szCs w:val="28"/>
          <w:lang w:val="en-US" w:eastAsia="zh-CN"/>
        </w:rPr>
        <w:t>95</w:t>
      </w:r>
      <w:r>
        <w:rPr>
          <w:rFonts w:hint="eastAsia" w:ascii="仿宋_GB2312"/>
          <w:szCs w:val="28"/>
        </w:rPr>
        <w:t>%，实际完成值：</w:t>
      </w:r>
      <w:r>
        <w:rPr>
          <w:rFonts w:hint="eastAsia" w:ascii="华文宋体" w:hAnsi="华文宋体" w:eastAsia="华文宋体"/>
          <w:szCs w:val="28"/>
        </w:rPr>
        <w:t>≥</w:t>
      </w:r>
      <w:r>
        <w:rPr>
          <w:rFonts w:hint="eastAsia" w:ascii="仿宋_GB2312" w:eastAsia="华文宋体"/>
          <w:szCs w:val="28"/>
          <w:lang w:val="en-US" w:eastAsia="zh-CN"/>
        </w:rPr>
        <w:t>95</w:t>
      </w:r>
      <w:r>
        <w:rPr>
          <w:rFonts w:hint="eastAsia" w:ascii="仿宋_GB2312"/>
          <w:szCs w:val="28"/>
        </w:rPr>
        <w:t>%。通过设置问卷调查的方式进行考评评价，共计调查样本总量为</w:t>
      </w:r>
      <w:r>
        <w:rPr>
          <w:rFonts w:hint="eastAsia" w:ascii="仿宋_GB2312"/>
          <w:szCs w:val="28"/>
          <w:lang w:val="en-US" w:eastAsia="zh-CN"/>
        </w:rPr>
        <w:t>150</w:t>
      </w:r>
      <w:r>
        <w:rPr>
          <w:rFonts w:hint="eastAsia" w:ascii="仿宋_GB2312"/>
          <w:szCs w:val="28"/>
        </w:rPr>
        <w:t>个样本，有效调查问卷</w:t>
      </w:r>
      <w:r>
        <w:rPr>
          <w:rFonts w:hint="eastAsia" w:ascii="仿宋_GB2312"/>
          <w:szCs w:val="28"/>
          <w:lang w:val="en-US" w:eastAsia="zh-CN"/>
        </w:rPr>
        <w:t>150</w:t>
      </w:r>
      <w:r>
        <w:rPr>
          <w:rFonts w:hint="eastAsia" w:ascii="仿宋_GB2312"/>
          <w:szCs w:val="28"/>
        </w:rPr>
        <w:t>份。其中，统计“</w:t>
      </w:r>
      <w:r>
        <w:rPr>
          <w:rFonts w:hint="eastAsia" w:ascii="仿宋_GB2312"/>
          <w:szCs w:val="28"/>
          <w:lang w:eastAsia="zh-CN"/>
        </w:rPr>
        <w:t>观众满意度问卷调查表</w:t>
      </w:r>
      <w:r>
        <w:rPr>
          <w:rFonts w:hint="eastAsia" w:ascii="仿宋_GB2312"/>
          <w:szCs w:val="28"/>
        </w:rPr>
        <w:t>”的平均值为</w:t>
      </w:r>
      <w:r>
        <w:rPr>
          <w:rFonts w:hint="eastAsia" w:ascii="仿宋_GB2312"/>
          <w:szCs w:val="28"/>
          <w:lang w:val="en-US" w:eastAsia="zh-CN"/>
        </w:rPr>
        <w:t>95</w:t>
      </w:r>
      <w:r>
        <w:rPr>
          <w:rFonts w:hint="eastAsia" w:ascii="仿宋_GB2312"/>
          <w:szCs w:val="28"/>
        </w:rPr>
        <w:t>%。故满意度指标得分为</w:t>
      </w:r>
      <w:r>
        <w:rPr>
          <w:rFonts w:hint="eastAsia" w:ascii="仿宋_GB2312"/>
          <w:szCs w:val="28"/>
          <w:lang w:val="en-US" w:eastAsia="zh-CN"/>
        </w:rPr>
        <w:t>10</w:t>
      </w:r>
      <w:r>
        <w:rPr>
          <w:rFonts w:hint="eastAsia" w:ascii="仿宋_GB2312"/>
          <w:szCs w:val="28"/>
        </w:rPr>
        <w:t>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hint="eastAsia" w:ascii="仿宋_GB2312" w:hAnsi="仿宋" w:cs="宋体"/>
          <w:b/>
          <w:kern w:val="0"/>
          <w:szCs w:val="28"/>
          <w:lang w:val="en-US" w:eastAsia="zh-CN"/>
        </w:rPr>
        <w:t>5</w:t>
      </w:r>
      <w:r>
        <w:rPr>
          <w:rFonts w:hint="eastAsia" w:ascii="仿宋_GB2312" w:hAnsi="仿宋" w:cs="宋体"/>
          <w:b/>
          <w:kern w:val="0"/>
          <w:szCs w:val="28"/>
        </w:rPr>
        <w:t>分，得分</w:t>
      </w:r>
      <w:r>
        <w:rPr>
          <w:rFonts w:hint="eastAsia" w:ascii="仿宋_GB2312" w:hAnsi="仿宋" w:cs="宋体"/>
          <w:b/>
          <w:kern w:val="0"/>
          <w:szCs w:val="28"/>
          <w:lang w:val="en-US" w:eastAsia="zh-CN"/>
        </w:rPr>
        <w:t>5</w:t>
      </w:r>
      <w:r>
        <w:rPr>
          <w:rFonts w:hint="eastAsia" w:ascii="仿宋_GB2312" w:hAnsi="仿宋" w:cs="宋体"/>
          <w:b/>
          <w:kern w:val="0"/>
          <w:szCs w:val="28"/>
        </w:rPr>
        <w:t>分。</w:t>
      </w:r>
    </w:p>
    <w:p>
      <w:pPr>
        <w:pStyle w:val="2"/>
        <w:ind w:firstLine="0" w:firstLineChars="0"/>
        <w:jc w:val="left"/>
        <w:rPr>
          <w:rFonts w:ascii="仿宋" w:hAnsi="仿宋" w:eastAsia="仿宋"/>
          <w:sz w:val="36"/>
          <w:szCs w:val="36"/>
          <w:lang w:bidi="en-US"/>
        </w:rPr>
      </w:pPr>
      <w:bookmarkStart w:id="55" w:name="_Toc67911617"/>
      <w:bookmarkStart w:id="56" w:name="_Toc165277256"/>
      <w:r>
        <w:rPr>
          <w:rFonts w:hint="eastAsia" w:ascii="仿宋" w:hAnsi="仿宋" w:eastAsia="仿宋"/>
          <w:sz w:val="36"/>
          <w:szCs w:val="36"/>
          <w:lang w:bidi="en-US"/>
        </w:rPr>
        <w:t>五、主要经验及做法、存在的问题及原因分析</w:t>
      </w:r>
      <w:bookmarkEnd w:id="55"/>
      <w:bookmarkEnd w:id="56"/>
    </w:p>
    <w:p>
      <w:pPr>
        <w:pStyle w:val="3"/>
        <w:ind w:firstLine="643"/>
        <w:rPr>
          <w:rFonts w:ascii="仿宋" w:hAnsi="仿宋" w:eastAsia="仿宋"/>
          <w:lang w:bidi="en-US"/>
        </w:rPr>
      </w:pPr>
      <w:bookmarkStart w:id="57" w:name="_Toc165277257"/>
      <w:bookmarkStart w:id="58" w:name="_Toc67911618"/>
      <w:r>
        <w:rPr>
          <w:rFonts w:hint="eastAsia" w:ascii="仿宋" w:hAnsi="仿宋" w:eastAsia="仿宋"/>
          <w:lang w:bidi="en-US"/>
        </w:rPr>
        <w:t>（一）主要经验及做法</w:t>
      </w:r>
      <w:bookmarkEnd w:id="57"/>
      <w:bookmarkEnd w:id="58"/>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仿宋" w:hAnsi="仿宋" w:eastAsia="仿宋" w:cs="仿宋"/>
          <w:sz w:val="28"/>
          <w:szCs w:val="28"/>
        </w:rPr>
      </w:pPr>
      <w:r>
        <w:rPr>
          <w:rFonts w:hint="eastAsia" w:ascii="仿宋_GB2312" w:hAnsi="仿宋" w:cs="宋体"/>
          <w:b/>
          <w:kern w:val="0"/>
          <w:szCs w:val="28"/>
        </w:rPr>
        <w:t>1.</w:t>
      </w:r>
      <w:r>
        <w:rPr>
          <w:rFonts w:hint="eastAsia" w:ascii="仿宋_GB2312" w:hAnsi="仿宋" w:cs="宋体"/>
          <w:b w:val="0"/>
          <w:bCs/>
          <w:kern w:val="0"/>
          <w:szCs w:val="28"/>
          <w:lang w:eastAsia="zh-CN"/>
        </w:rPr>
        <w:t>通过项目的实施，进一步弘扬了中华优秀传统文化艺术，更好的普及了戏曲表演知识，培育了观众群体。</w:t>
      </w:r>
      <w:r>
        <w:rPr>
          <w:rFonts w:hint="eastAsia" w:ascii="仿宋_GB2312" w:hAnsi="仿宋" w:cs="宋体"/>
          <w:b w:val="0"/>
          <w:bCs/>
          <w:kern w:val="0"/>
          <w:sz w:val="28"/>
          <w:szCs w:val="28"/>
          <w:lang w:eastAsia="zh-CN"/>
        </w:rPr>
        <w:t>提</w:t>
      </w:r>
      <w:r>
        <w:rPr>
          <w:rFonts w:hint="eastAsia" w:ascii="仿宋" w:hAnsi="仿宋" w:eastAsia="仿宋" w:cs="仿宋"/>
          <w:sz w:val="28"/>
          <w:szCs w:val="28"/>
        </w:rPr>
        <w:t>前谋划，因时因地制宜完成任务。为圆满完成“戏曲进乡村”活动，我单位结合实际情况，针对观众群体的不同，挑选群众喜爱的剧目，合理制定演出计划，充分利用农闲和居民休息时间，在村民家门口的文化舞台或条件适宜场地铺设舞台地毯，架设音响设备，最大化保障演出整体效果，献上了一场场精彩纷呈的演出。</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贴近生活，推动文艺作品传承和创新。坚持做到兼顾传统戏曲和现代节目，全方位满足群众的不同文化需求。“戏曲进乡村”演出节目中既反映了中华传统美德，也宣传了爱国主义思想和人民生活的美好变化等。快板《教学》、秦腔《华亭相会》《金榜题名》《挂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打镇台》《辕门二帐》</w:t>
      </w:r>
      <w:r>
        <w:rPr>
          <w:rFonts w:hint="eastAsia" w:ascii="仿宋" w:hAnsi="仿宋" w:eastAsia="仿宋" w:cs="仿宋"/>
          <w:sz w:val="28"/>
          <w:szCs w:val="28"/>
        </w:rPr>
        <w:t>、歌曲《望月》《幸福赞歌》、器乐演奏《我和我的祖国》《秦韵》《秦腔曲牌》、武戏《梨园群英荟》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折子戏《杀庙》、《二进宫》</w:t>
      </w:r>
      <w:r>
        <w:rPr>
          <w:rFonts w:hint="eastAsia" w:ascii="仿宋" w:hAnsi="仿宋" w:eastAsia="仿宋" w:cs="仿宋"/>
          <w:sz w:val="28"/>
          <w:szCs w:val="28"/>
        </w:rPr>
        <w:t>等节目既让村民们体验到优秀传统的的魅力，同时也传递了正能量。</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 w:eastAsia="仿宋_GB2312" w:cs="宋体"/>
          <w:b/>
          <w:kern w:val="0"/>
          <w:szCs w:val="28"/>
          <w:lang w:eastAsia="zh-CN"/>
        </w:rPr>
      </w:pPr>
      <w:r>
        <w:rPr>
          <w:rFonts w:hint="eastAsia" w:ascii="仿宋" w:hAnsi="仿宋" w:eastAsia="仿宋" w:cs="仿宋"/>
          <w:sz w:val="28"/>
          <w:szCs w:val="28"/>
          <w:lang w:val="en-US" w:eastAsia="zh-CN"/>
        </w:rPr>
        <w:t>在喀什市、巴楚县、麦盖提县给当地秦腔业余班社进行培训辅导及同台演出，发挥了专业院团的责任，普及推广了传统文化艺术，丰富了当地群众的文化生活，做到了“种文化”的意义和价值。</w:t>
      </w:r>
    </w:p>
    <w:p>
      <w:pPr>
        <w:pStyle w:val="3"/>
        <w:ind w:left="0" w:leftChars="0" w:firstLine="0" w:firstLineChars="0"/>
        <w:rPr>
          <w:rFonts w:ascii="仿宋" w:hAnsi="仿宋" w:eastAsia="仿宋"/>
          <w:lang w:bidi="en-US"/>
        </w:rPr>
      </w:pPr>
      <w:bookmarkStart w:id="59" w:name="_Toc165277258"/>
      <w:r>
        <w:rPr>
          <w:rFonts w:hint="eastAsia" w:ascii="仿宋" w:hAnsi="仿宋" w:eastAsia="仿宋"/>
          <w:lang w:bidi="en-US"/>
        </w:rPr>
        <w:t>（二）存在的问题及原因分析</w:t>
      </w:r>
      <w:bookmarkEnd w:id="59"/>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仿宋" w:hAnsi="仿宋" w:eastAsia="仿宋" w:cs="仿宋"/>
          <w:sz w:val="32"/>
          <w:szCs w:val="32"/>
        </w:rPr>
      </w:pPr>
      <w:r>
        <w:rPr>
          <w:rFonts w:hint="eastAsia" w:ascii="仿宋_GB2312"/>
          <w:b/>
          <w:bCs/>
          <w:szCs w:val="28"/>
        </w:rPr>
        <w:t>1</w:t>
      </w:r>
      <w:r>
        <w:rPr>
          <w:rFonts w:ascii="仿宋_GB2312"/>
          <w:b/>
          <w:bCs/>
          <w:szCs w:val="28"/>
        </w:rPr>
        <w:t>.</w:t>
      </w:r>
      <w:r>
        <w:rPr>
          <w:rFonts w:hint="eastAsia" w:ascii="仿宋" w:hAnsi="仿宋" w:eastAsia="仿宋" w:cs="仿宋"/>
          <w:sz w:val="32"/>
          <w:szCs w:val="32"/>
        </w:rPr>
        <w:t>乡村</w:t>
      </w:r>
      <w:r>
        <w:rPr>
          <w:rFonts w:hint="eastAsia" w:ascii="仿宋" w:hAnsi="仿宋" w:eastAsia="仿宋" w:cs="仿宋"/>
          <w:sz w:val="32"/>
          <w:szCs w:val="32"/>
          <w:lang w:val="en-US" w:eastAsia="zh-CN"/>
        </w:rPr>
        <w:t>演出场地</w:t>
      </w:r>
      <w:r>
        <w:rPr>
          <w:rFonts w:hint="eastAsia" w:ascii="仿宋" w:hAnsi="仿宋" w:eastAsia="仿宋" w:cs="仿宋"/>
          <w:sz w:val="32"/>
          <w:szCs w:val="32"/>
        </w:rPr>
        <w:t>条件有所</w:t>
      </w:r>
      <w:r>
        <w:rPr>
          <w:rFonts w:hint="eastAsia" w:ascii="仿宋" w:hAnsi="仿宋" w:eastAsia="仿宋" w:cs="仿宋"/>
          <w:sz w:val="32"/>
          <w:szCs w:val="32"/>
          <w:lang w:val="en-US" w:eastAsia="zh-CN"/>
        </w:rPr>
        <w:t>限制</w:t>
      </w:r>
      <w:r>
        <w:rPr>
          <w:rFonts w:hint="eastAsia" w:ascii="仿宋" w:hAnsi="仿宋" w:eastAsia="仿宋" w:cs="仿宋"/>
          <w:sz w:val="32"/>
          <w:szCs w:val="32"/>
        </w:rPr>
        <w:t>。戏曲演出需要的场地比较大，器材、道具比较多。而目前兴建的乡村文化大舞台因活动较少普遍比较简陋，基本的演员化妆和更衣区域不完全具备，给戏曲演出带来了</w:t>
      </w:r>
      <w:r>
        <w:rPr>
          <w:rFonts w:hint="eastAsia" w:ascii="仿宋" w:hAnsi="仿宋" w:eastAsia="仿宋" w:cs="仿宋"/>
          <w:sz w:val="32"/>
          <w:szCs w:val="32"/>
          <w:lang w:eastAsia="zh-CN"/>
        </w:rPr>
        <w:t>一定</w:t>
      </w:r>
      <w:r>
        <w:rPr>
          <w:rFonts w:hint="eastAsia" w:ascii="仿宋" w:hAnsi="仿宋" w:eastAsia="仿宋" w:cs="仿宋"/>
          <w:sz w:val="32"/>
          <w:szCs w:val="32"/>
        </w:rPr>
        <w:t>不便。</w:t>
      </w:r>
      <w:bookmarkStart w:id="60" w:name="_Toc67911620"/>
      <w:bookmarkStart w:id="61" w:name="_Toc165277259"/>
      <w:bookmarkStart w:id="62" w:name="_Toc67911619"/>
    </w:p>
    <w:p>
      <w:pPr>
        <w:pStyle w:val="2"/>
        <w:numPr>
          <w:ilvl w:val="0"/>
          <w:numId w:val="0"/>
        </w:numPr>
        <w:jc w:val="left"/>
        <w:rPr>
          <w:rFonts w:hint="eastAsia" w:ascii="仿宋_GB2312" w:hAnsi="仿宋" w:eastAsia="仿宋_GB2312" w:cs="宋体"/>
          <w:b w:val="0"/>
          <w:bCs w:val="0"/>
          <w:kern w:val="0"/>
          <w:sz w:val="28"/>
          <w:szCs w:val="28"/>
          <w:lang w:val="en-US" w:eastAsia="zh-CN" w:bidi="ar-SA"/>
        </w:rPr>
      </w:pPr>
      <w:r>
        <w:rPr>
          <w:rFonts w:hint="eastAsia" w:ascii="仿宋" w:hAnsi="仿宋" w:eastAsia="仿宋"/>
          <w:b/>
          <w:bCs/>
          <w:sz w:val="36"/>
          <w:szCs w:val="36"/>
          <w:lang w:eastAsia="zh-CN" w:bidi="en-US"/>
        </w:rPr>
        <w:t>六、</w:t>
      </w:r>
      <w:r>
        <w:rPr>
          <w:rFonts w:hint="eastAsia" w:ascii="仿宋" w:hAnsi="仿宋" w:eastAsia="仿宋"/>
          <w:b/>
          <w:bCs/>
          <w:sz w:val="36"/>
          <w:szCs w:val="36"/>
          <w:lang w:bidi="en-US"/>
        </w:rPr>
        <w:t>有关建议</w:t>
      </w:r>
      <w:bookmarkEnd w:id="60"/>
      <w:bookmarkEnd w:id="61"/>
      <w:r>
        <w:rPr>
          <w:rFonts w:hint="eastAsia" w:ascii="仿宋" w:hAnsi="仿宋" w:eastAsia="仿宋"/>
          <w:b/>
          <w:bCs/>
          <w:sz w:val="36"/>
          <w:szCs w:val="36"/>
          <w:lang w:eastAsia="zh-CN" w:bidi="en-US"/>
        </w:rPr>
        <w:t>：</w:t>
      </w:r>
      <w:r>
        <w:rPr>
          <w:rFonts w:hint="eastAsia" w:ascii="仿宋_GB2312" w:hAnsi="仿宋" w:eastAsia="仿宋_GB2312" w:cs="宋体"/>
          <w:b w:val="0"/>
          <w:bCs w:val="0"/>
          <w:kern w:val="0"/>
          <w:sz w:val="28"/>
          <w:szCs w:val="28"/>
          <w:lang w:val="en-US" w:eastAsia="zh-CN" w:bidi="ar-SA"/>
        </w:rPr>
        <w:t>建议在今后的戏曲进乡村演出活动，希望把巴州巴音郭楞蒙古自治州列入到演出系列中，加强接待演出地区的对接工作，合理有效的安排演出场次任务，安排一些场地大的影剧院方便演出大型传统剧目，演出单位能更加有效的在演出节目内容、场次中出色的完成好各项工作。</w:t>
      </w:r>
    </w:p>
    <w:p>
      <w:pPr>
        <w:pStyle w:val="2"/>
        <w:numPr>
          <w:ilvl w:val="0"/>
          <w:numId w:val="0"/>
        </w:numPr>
        <w:jc w:val="left"/>
        <w:rPr>
          <w:rFonts w:ascii="仿宋" w:hAnsi="仿宋" w:eastAsia="仿宋"/>
          <w:sz w:val="36"/>
          <w:szCs w:val="36"/>
          <w:lang w:bidi="en-US"/>
        </w:rPr>
      </w:pPr>
      <w:bookmarkStart w:id="63" w:name="_GoBack"/>
      <w:bookmarkEnd w:id="63"/>
      <w:r>
        <w:rPr>
          <w:rFonts w:hint="eastAsia" w:ascii="仿宋" w:hAnsi="仿宋" w:eastAsia="仿宋"/>
          <w:sz w:val="36"/>
          <w:szCs w:val="36"/>
          <w:lang w:bidi="en-US"/>
        </w:rPr>
        <w:t>七、其他需要说明的问题</w:t>
      </w:r>
    </w:p>
    <w:p>
      <w:pPr>
        <w:spacing w:line="360" w:lineRule="auto"/>
        <w:ind w:firstLine="560"/>
        <w:rPr>
          <w:rFonts w:hint="eastAsia" w:ascii="仿宋_GB2312" w:eastAsia="仿宋_GB2312"/>
          <w:szCs w:val="28"/>
          <w:lang w:eastAsia="zh-CN"/>
        </w:rPr>
      </w:pPr>
      <w:r>
        <w:rPr>
          <w:rFonts w:hint="eastAsia" w:ascii="仿宋_GB2312"/>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textAlignment w:val="auto"/>
        <w:rPr>
          <w:rFonts w:hint="eastAsia" w:ascii="仿宋" w:hAnsi="仿宋" w:eastAsia="仿宋"/>
          <w:b/>
          <w:bCs/>
          <w:sz w:val="36"/>
          <w:szCs w:val="36"/>
          <w:lang w:eastAsia="zh-CN" w:bidi="en-US"/>
        </w:rPr>
      </w:pPr>
    </w:p>
    <w:bookmarkEnd w:id="62"/>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 w:eastAsia="仿宋_GB2312" w:cs="宋体"/>
          <w:b w:val="0"/>
          <w:bCs w:val="0"/>
          <w:kern w:val="0"/>
          <w:sz w:val="28"/>
          <w:szCs w:val="28"/>
          <w:lang w:val="en-US" w:eastAsia="zh-CN" w:bidi="ar-SA"/>
        </w:rPr>
      </w:pPr>
    </w:p>
    <w:sectPr>
      <w:headerReference r:id="rId13" w:type="default"/>
      <w:footerReference r:id="rId14" w:type="default"/>
      <w:footnotePr>
        <w:numFmt w:val="decimalEnclosedCircleChinese"/>
        <w:numRestart w:val="eachPage"/>
      </w:footnotePr>
      <w:type w:val="continuous"/>
      <w:pgSz w:w="11906" w:h="16838"/>
      <w:pgMar w:top="1440" w:right="586" w:bottom="1440" w:left="2154" w:header="992"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 w:name="Gungsuh">
    <w:panose1 w:val="02030600000101010101"/>
    <w:charset w:val="81"/>
    <w:family w:val="roman"/>
    <w:pitch w:val="default"/>
    <w:sig w:usb0="B00002AF" w:usb1="69D77CFB" w:usb2="00000030" w:usb3="00000000" w:csb0="4008009F" w:csb1="DFD7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docPartObj>
        <w:docPartGallery w:val="autotext"/>
      </w:docPartObj>
    </w:sdtPr>
    <w:sdtEndPr>
      <w:rPr>
        <w:rFonts w:hint="eastAsia" w:ascii="仿宋_GB2312" w:eastAsia="仿宋_GB2312"/>
        <w:sz w:val="21"/>
        <w:szCs w:val="21"/>
      </w:rPr>
    </w:sdtEndPr>
    <w:sdtContent>
      <w:p>
        <w:pPr>
          <w:pStyle w:val="12"/>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w:t>
        </w:r>
        <w:r>
          <w:rPr>
            <w:rFonts w:hint="eastAsia" w:ascii="仿宋_GB2312" w:eastAsia="仿宋_GB2312"/>
            <w:sz w:val="21"/>
            <w:szCs w:val="21"/>
          </w:rPr>
          <w:fldChar w:fldCharType="end"/>
        </w:r>
      </w:p>
    </w:sdtContent>
  </w:sdt>
  <w:p>
    <w:pPr>
      <w:pStyle w:val="12"/>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docPartObj>
        <w:docPartGallery w:val="autotext"/>
      </w:docPartObj>
    </w:sdtPr>
    <w:sdtEndPr>
      <w:rPr>
        <w:rFonts w:hint="eastAsia" w:ascii="仿宋_GB2312" w:eastAsia="仿宋_GB2312"/>
        <w:sz w:val="21"/>
        <w:szCs w:val="21"/>
      </w:rPr>
    </w:sdtEndPr>
    <w:sdtContent>
      <w:p>
        <w:pPr>
          <w:pStyle w:val="12"/>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16</w:t>
        </w:r>
        <w:r>
          <w:rPr>
            <w:rFonts w:hint="eastAsia" w:ascii="仿宋_GB2312" w:eastAsia="仿宋_GB2312"/>
            <w:sz w:val="21"/>
            <w:szCs w:val="21"/>
          </w:rPr>
          <w:fldChar w:fldCharType="end"/>
        </w:r>
      </w:p>
    </w:sdtContent>
  </w:sdt>
  <w:p>
    <w:pPr>
      <w:pStyle w:val="12"/>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560"/>
      </w:pPr>
      <w:r>
        <w:separator/>
      </w:r>
    </w:p>
  </w:footnote>
  <w:footnote w:type="continuationSeparator" w:id="5">
    <w:p>
      <w:pPr>
        <w:ind w:firstLine="560"/>
      </w:pPr>
      <w:r>
        <w:continuationSeparator/>
      </w:r>
    </w:p>
  </w:footnote>
  <w:footnote w:id="0">
    <w:p>
      <w:pPr>
        <w:pStyle w:val="15"/>
        <w:ind w:firstLine="0" w:firstLineChars="0"/>
        <w:jc w:val="both"/>
        <w:rPr>
          <w:rFonts w:ascii="仿宋_GB2312"/>
        </w:rPr>
      </w:pPr>
      <w:r>
        <w:rPr>
          <w:rStyle w:val="23"/>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pPr>
        <w:pStyle w:val="15"/>
        <w:ind w:firstLine="0" w:firstLineChars="0"/>
        <w:jc w:val="both"/>
        <w:rPr>
          <w:rFonts w:ascii="仿宋_GB2312"/>
        </w:rPr>
      </w:pPr>
      <w:r>
        <w:rPr>
          <w:rFonts w:hint="eastAsia" w:ascii="仿宋_GB2312"/>
        </w:rPr>
        <w:t>本次绩效评价结果实施百分制和四级分类，其中90（含）-100分为优、80（含）-90分为良、</w:t>
      </w:r>
      <w:r>
        <w:rPr>
          <w:rFonts w:ascii="仿宋_GB2312"/>
        </w:rPr>
        <w:t>7</w:t>
      </w:r>
      <w:r>
        <w:rPr>
          <w:rFonts w:hint="eastAsia" w:ascii="仿宋_GB2312"/>
        </w:rPr>
        <w:t>0（含）-80分为中、</w:t>
      </w:r>
      <w:r>
        <w:rPr>
          <w:rFonts w:ascii="仿宋_GB2312"/>
        </w:rPr>
        <w:t>7</w:t>
      </w:r>
      <w:r>
        <w:rPr>
          <w:rFonts w:hint="eastAsia" w:ascii="仿宋_GB2312"/>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TFkNjBkMzBiMzQ2ZDQ1Nzk3ZGEwMTMzOWZmMTAifQ=="/>
  </w:docVars>
  <w:rsids>
    <w:rsidRoot w:val="00A43A0A"/>
    <w:rsid w:val="00031A7F"/>
    <w:rsid w:val="00042151"/>
    <w:rsid w:val="000438A0"/>
    <w:rsid w:val="0007002C"/>
    <w:rsid w:val="00071C0F"/>
    <w:rsid w:val="00086724"/>
    <w:rsid w:val="000A2B58"/>
    <w:rsid w:val="000A43E8"/>
    <w:rsid w:val="000B520E"/>
    <w:rsid w:val="000B6FA0"/>
    <w:rsid w:val="000C22A1"/>
    <w:rsid w:val="000C720A"/>
    <w:rsid w:val="000C77D3"/>
    <w:rsid w:val="000E1EB5"/>
    <w:rsid w:val="000F5DE3"/>
    <w:rsid w:val="00111969"/>
    <w:rsid w:val="00147D9F"/>
    <w:rsid w:val="001544E6"/>
    <w:rsid w:val="001645EB"/>
    <w:rsid w:val="00187B13"/>
    <w:rsid w:val="001A3189"/>
    <w:rsid w:val="001A79B9"/>
    <w:rsid w:val="001C50BA"/>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6E59"/>
    <w:rsid w:val="002B7C09"/>
    <w:rsid w:val="002E1E67"/>
    <w:rsid w:val="002E608B"/>
    <w:rsid w:val="00302E15"/>
    <w:rsid w:val="0032183D"/>
    <w:rsid w:val="0032329D"/>
    <w:rsid w:val="00332C71"/>
    <w:rsid w:val="00333EA5"/>
    <w:rsid w:val="00340CED"/>
    <w:rsid w:val="00343485"/>
    <w:rsid w:val="00350839"/>
    <w:rsid w:val="003766AB"/>
    <w:rsid w:val="00377BA7"/>
    <w:rsid w:val="003C24DB"/>
    <w:rsid w:val="003C4BD9"/>
    <w:rsid w:val="003D611E"/>
    <w:rsid w:val="003D74DE"/>
    <w:rsid w:val="00404C10"/>
    <w:rsid w:val="004249EE"/>
    <w:rsid w:val="00425C1F"/>
    <w:rsid w:val="00437C39"/>
    <w:rsid w:val="00453D4B"/>
    <w:rsid w:val="004925F6"/>
    <w:rsid w:val="004957B3"/>
    <w:rsid w:val="004B12BE"/>
    <w:rsid w:val="004B5A40"/>
    <w:rsid w:val="004D4759"/>
    <w:rsid w:val="004E0DF3"/>
    <w:rsid w:val="004F17C9"/>
    <w:rsid w:val="004F66E9"/>
    <w:rsid w:val="00502EC2"/>
    <w:rsid w:val="005345BF"/>
    <w:rsid w:val="00534DD6"/>
    <w:rsid w:val="005417D4"/>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7A28"/>
    <w:rsid w:val="005D02D3"/>
    <w:rsid w:val="005D2F48"/>
    <w:rsid w:val="005D4D5B"/>
    <w:rsid w:val="005E2098"/>
    <w:rsid w:val="005F226E"/>
    <w:rsid w:val="005F273F"/>
    <w:rsid w:val="005F3A17"/>
    <w:rsid w:val="00604BA5"/>
    <w:rsid w:val="00607D5B"/>
    <w:rsid w:val="00611B95"/>
    <w:rsid w:val="00614CEC"/>
    <w:rsid w:val="00627F97"/>
    <w:rsid w:val="0065079B"/>
    <w:rsid w:val="00656DB7"/>
    <w:rsid w:val="00662C67"/>
    <w:rsid w:val="006B60FE"/>
    <w:rsid w:val="006C40AE"/>
    <w:rsid w:val="006E6431"/>
    <w:rsid w:val="006F3315"/>
    <w:rsid w:val="007027A1"/>
    <w:rsid w:val="00705854"/>
    <w:rsid w:val="00722A72"/>
    <w:rsid w:val="0073210F"/>
    <w:rsid w:val="00733402"/>
    <w:rsid w:val="0073417E"/>
    <w:rsid w:val="00743F96"/>
    <w:rsid w:val="0076734C"/>
    <w:rsid w:val="0078063A"/>
    <w:rsid w:val="00783118"/>
    <w:rsid w:val="00794639"/>
    <w:rsid w:val="007A772C"/>
    <w:rsid w:val="007C3F63"/>
    <w:rsid w:val="007F185A"/>
    <w:rsid w:val="007F6051"/>
    <w:rsid w:val="007F6745"/>
    <w:rsid w:val="007F77F3"/>
    <w:rsid w:val="008123C5"/>
    <w:rsid w:val="00831695"/>
    <w:rsid w:val="008327EB"/>
    <w:rsid w:val="00835535"/>
    <w:rsid w:val="00845BE2"/>
    <w:rsid w:val="00863F65"/>
    <w:rsid w:val="00866FB0"/>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546FE"/>
    <w:rsid w:val="0095473C"/>
    <w:rsid w:val="00954936"/>
    <w:rsid w:val="00963948"/>
    <w:rsid w:val="00981879"/>
    <w:rsid w:val="0098656D"/>
    <w:rsid w:val="00995079"/>
    <w:rsid w:val="00996B5B"/>
    <w:rsid w:val="009A33B6"/>
    <w:rsid w:val="009D4C5C"/>
    <w:rsid w:val="009F1224"/>
    <w:rsid w:val="009F55B0"/>
    <w:rsid w:val="00A00443"/>
    <w:rsid w:val="00A106CE"/>
    <w:rsid w:val="00A2064E"/>
    <w:rsid w:val="00A22963"/>
    <w:rsid w:val="00A425B1"/>
    <w:rsid w:val="00A43A0A"/>
    <w:rsid w:val="00A52E6C"/>
    <w:rsid w:val="00A52E72"/>
    <w:rsid w:val="00A675F9"/>
    <w:rsid w:val="00A92F9F"/>
    <w:rsid w:val="00AB7184"/>
    <w:rsid w:val="00AD5430"/>
    <w:rsid w:val="00AE1DCD"/>
    <w:rsid w:val="00AE6C31"/>
    <w:rsid w:val="00B22F6F"/>
    <w:rsid w:val="00B4167E"/>
    <w:rsid w:val="00B56B1B"/>
    <w:rsid w:val="00B72218"/>
    <w:rsid w:val="00B90BA4"/>
    <w:rsid w:val="00B928FF"/>
    <w:rsid w:val="00B962E0"/>
    <w:rsid w:val="00BA0A35"/>
    <w:rsid w:val="00BA10B1"/>
    <w:rsid w:val="00BA13B7"/>
    <w:rsid w:val="00BA65B8"/>
    <w:rsid w:val="00BA76B5"/>
    <w:rsid w:val="00BB5BD6"/>
    <w:rsid w:val="00BC5C63"/>
    <w:rsid w:val="00BD263E"/>
    <w:rsid w:val="00BF1766"/>
    <w:rsid w:val="00C00DA2"/>
    <w:rsid w:val="00C10C79"/>
    <w:rsid w:val="00C20C51"/>
    <w:rsid w:val="00C409B9"/>
    <w:rsid w:val="00C634EC"/>
    <w:rsid w:val="00C66545"/>
    <w:rsid w:val="00C8191C"/>
    <w:rsid w:val="00C927D9"/>
    <w:rsid w:val="00CA74C5"/>
    <w:rsid w:val="00CB3DFC"/>
    <w:rsid w:val="00CB6D38"/>
    <w:rsid w:val="00CE6337"/>
    <w:rsid w:val="00CF640C"/>
    <w:rsid w:val="00D04E2D"/>
    <w:rsid w:val="00D152B1"/>
    <w:rsid w:val="00D23DCB"/>
    <w:rsid w:val="00D3320C"/>
    <w:rsid w:val="00D435A3"/>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C5F03"/>
    <w:rsid w:val="00EE20A2"/>
    <w:rsid w:val="00EF3B51"/>
    <w:rsid w:val="00F06D23"/>
    <w:rsid w:val="00F36E98"/>
    <w:rsid w:val="00F52C6D"/>
    <w:rsid w:val="00F55451"/>
    <w:rsid w:val="00F73710"/>
    <w:rsid w:val="00F872E7"/>
    <w:rsid w:val="00FA4373"/>
    <w:rsid w:val="00FB09C6"/>
    <w:rsid w:val="00FB2BBD"/>
    <w:rsid w:val="00FD7A36"/>
    <w:rsid w:val="00FD7C5F"/>
    <w:rsid w:val="00FE193C"/>
    <w:rsid w:val="00FE7DCA"/>
    <w:rsid w:val="00FF0452"/>
    <w:rsid w:val="01C901A1"/>
    <w:rsid w:val="02555E99"/>
    <w:rsid w:val="045F5D44"/>
    <w:rsid w:val="05945068"/>
    <w:rsid w:val="05DE7F94"/>
    <w:rsid w:val="061834A6"/>
    <w:rsid w:val="0ACE4A7B"/>
    <w:rsid w:val="0C38208B"/>
    <w:rsid w:val="0EA50374"/>
    <w:rsid w:val="10C46A38"/>
    <w:rsid w:val="11CF2200"/>
    <w:rsid w:val="156F0F41"/>
    <w:rsid w:val="1AB27C32"/>
    <w:rsid w:val="1FC10E6F"/>
    <w:rsid w:val="208C0A4C"/>
    <w:rsid w:val="21435EDB"/>
    <w:rsid w:val="230B5528"/>
    <w:rsid w:val="23386ADD"/>
    <w:rsid w:val="2566688E"/>
    <w:rsid w:val="25F42076"/>
    <w:rsid w:val="26213859"/>
    <w:rsid w:val="281433D9"/>
    <w:rsid w:val="2A8E6124"/>
    <w:rsid w:val="2AD90C51"/>
    <w:rsid w:val="2B2C2B5A"/>
    <w:rsid w:val="2FC07828"/>
    <w:rsid w:val="31280191"/>
    <w:rsid w:val="362C31F4"/>
    <w:rsid w:val="36732476"/>
    <w:rsid w:val="37942160"/>
    <w:rsid w:val="38924F7C"/>
    <w:rsid w:val="3C3C0C79"/>
    <w:rsid w:val="3CE146C9"/>
    <w:rsid w:val="3D49582A"/>
    <w:rsid w:val="403A3FD6"/>
    <w:rsid w:val="460700B6"/>
    <w:rsid w:val="463B4EF7"/>
    <w:rsid w:val="46901233"/>
    <w:rsid w:val="484A5EF3"/>
    <w:rsid w:val="49C95EFD"/>
    <w:rsid w:val="4D932A58"/>
    <w:rsid w:val="4FA21926"/>
    <w:rsid w:val="50E27A22"/>
    <w:rsid w:val="52FC4B82"/>
    <w:rsid w:val="53DF659E"/>
    <w:rsid w:val="554C1DF1"/>
    <w:rsid w:val="56AF36AC"/>
    <w:rsid w:val="5B6B445E"/>
    <w:rsid w:val="5BCF552A"/>
    <w:rsid w:val="5F8D458F"/>
    <w:rsid w:val="624B51DE"/>
    <w:rsid w:val="63E1404C"/>
    <w:rsid w:val="670D5158"/>
    <w:rsid w:val="68BC6E36"/>
    <w:rsid w:val="69967687"/>
    <w:rsid w:val="6C5E7777"/>
    <w:rsid w:val="6CEA15CE"/>
    <w:rsid w:val="6CF604E5"/>
    <w:rsid w:val="6EF8260D"/>
    <w:rsid w:val="6F2F48A7"/>
    <w:rsid w:val="6F3F60CB"/>
    <w:rsid w:val="704F4E39"/>
    <w:rsid w:val="70C148D9"/>
    <w:rsid w:val="74144C92"/>
    <w:rsid w:val="7592164A"/>
    <w:rsid w:val="762A51CC"/>
    <w:rsid w:val="76F92BA5"/>
    <w:rsid w:val="78047E8C"/>
    <w:rsid w:val="798A4A5E"/>
    <w:rsid w:val="79EA30C6"/>
    <w:rsid w:val="7A462A03"/>
    <w:rsid w:val="7A7E219D"/>
    <w:rsid w:val="7B983AE3"/>
    <w:rsid w:val="7CEF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33"/>
    <w:unhideWhenUsed/>
    <w:qFormat/>
    <w:uiPriority w:val="99"/>
    <w:pPr>
      <w:jc w:val="left"/>
    </w:pPr>
  </w:style>
  <w:style w:type="paragraph" w:styleId="7">
    <w:name w:val="Body Text"/>
    <w:basedOn w:val="1"/>
    <w:next w:val="8"/>
    <w:qFormat/>
    <w:uiPriority w:val="0"/>
  </w:style>
  <w:style w:type="paragraph" w:styleId="8">
    <w:name w:val="Body Text First Indent"/>
    <w:unhideWhenUsed/>
    <w:qFormat/>
    <w:uiPriority w:val="99"/>
    <w:pPr>
      <w:widowControl w:val="0"/>
      <w:spacing w:line="380" w:lineRule="exact"/>
      <w:jc w:val="both"/>
    </w:pPr>
    <w:rPr>
      <w:rFonts w:ascii="Calibri" w:hAnsi="Calibri" w:eastAsia="微软雅黑" w:cs="Times New Roman"/>
      <w:kern w:val="2"/>
      <w:sz w:val="24"/>
      <w:szCs w:val="22"/>
      <w:lang w:val="en-US" w:eastAsia="zh-CN" w:bidi="ar-SA"/>
    </w:rPr>
  </w:style>
  <w:style w:type="paragraph" w:styleId="9">
    <w:name w:val="toc 3"/>
    <w:basedOn w:val="1"/>
    <w:next w:val="1"/>
    <w:unhideWhenUsed/>
    <w:qFormat/>
    <w:uiPriority w:val="39"/>
    <w:pPr>
      <w:ind w:left="840" w:leftChars="400"/>
    </w:pPr>
  </w:style>
  <w:style w:type="paragraph" w:styleId="10">
    <w:name w:val="Date"/>
    <w:basedOn w:val="1"/>
    <w:next w:val="1"/>
    <w:link w:val="26"/>
    <w:semiHidden/>
    <w:unhideWhenUsed/>
    <w:qFormat/>
    <w:uiPriority w:val="99"/>
    <w:pPr>
      <w:ind w:left="100" w:leftChars="2500"/>
    </w:pPr>
  </w:style>
  <w:style w:type="paragraph" w:styleId="11">
    <w:name w:val="Balloon Text"/>
    <w:basedOn w:val="1"/>
    <w:link w:val="35"/>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style>
  <w:style w:type="paragraph" w:styleId="15">
    <w:name w:val="footnote text"/>
    <w:basedOn w:val="1"/>
    <w:link w:val="28"/>
    <w:semiHidden/>
    <w:unhideWhenUsed/>
    <w:qFormat/>
    <w:uiPriority w:val="99"/>
    <w:pPr>
      <w:snapToGrid w:val="0"/>
      <w:jc w:val="left"/>
    </w:pPr>
    <w:rPr>
      <w:sz w:val="18"/>
      <w:szCs w:val="18"/>
    </w:rPr>
  </w:style>
  <w:style w:type="paragraph" w:styleId="16">
    <w:name w:val="toc 2"/>
    <w:basedOn w:val="1"/>
    <w:next w:val="1"/>
    <w:unhideWhenUsed/>
    <w:qFormat/>
    <w:uiPriority w:val="39"/>
    <w:pPr>
      <w:ind w:left="420" w:leftChars="200"/>
    </w:pPr>
  </w:style>
  <w:style w:type="paragraph" w:styleId="17">
    <w:name w:val="annotation subject"/>
    <w:basedOn w:val="6"/>
    <w:next w:val="6"/>
    <w:link w:val="34"/>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styleId="23">
    <w:name w:val="footnote reference"/>
    <w:basedOn w:val="20"/>
    <w:semiHidden/>
    <w:unhideWhenUsed/>
    <w:qFormat/>
    <w:uiPriority w:val="99"/>
    <w:rPr>
      <w:vertAlign w:val="superscript"/>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日期 Char"/>
    <w:basedOn w:val="20"/>
    <w:link w:val="10"/>
    <w:semiHidden/>
    <w:qFormat/>
    <w:uiPriority w:val="99"/>
    <w:rPr>
      <w:rFonts w:ascii="Calibri" w:hAnsi="Calibri" w:eastAsia="仿宋_GB2312" w:cs="黑体"/>
      <w:sz w:val="28"/>
    </w:rPr>
  </w:style>
  <w:style w:type="character" w:customStyle="1" w:styleId="27">
    <w:name w:val="标题 2 Char"/>
    <w:basedOn w:val="20"/>
    <w:link w:val="3"/>
    <w:qFormat/>
    <w:uiPriority w:val="9"/>
    <w:rPr>
      <w:rFonts w:asciiTheme="majorHAnsi" w:hAnsiTheme="majorHAnsi" w:eastAsiaTheme="majorEastAsia" w:cstheme="majorBidi"/>
      <w:b/>
      <w:bCs/>
      <w:sz w:val="32"/>
      <w:szCs w:val="32"/>
    </w:rPr>
  </w:style>
  <w:style w:type="character" w:customStyle="1" w:styleId="28">
    <w:name w:val="脚注文本 Char"/>
    <w:basedOn w:val="20"/>
    <w:link w:val="15"/>
    <w:semiHidden/>
    <w:qFormat/>
    <w:uiPriority w:val="99"/>
    <w:rPr>
      <w:rFonts w:ascii="Calibri" w:hAnsi="Calibri" w:eastAsia="仿宋_GB2312" w:cs="黑体"/>
      <w:sz w:val="18"/>
      <w:szCs w:val="18"/>
    </w:rPr>
  </w:style>
  <w:style w:type="paragraph" w:styleId="29">
    <w:name w:val="List Paragraph"/>
    <w:basedOn w:val="1"/>
    <w:qFormat/>
    <w:uiPriority w:val="34"/>
    <w:pPr>
      <w:ind w:firstLine="420"/>
    </w:pPr>
  </w:style>
  <w:style w:type="table" w:customStyle="1" w:styleId="30">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标题 1 Char"/>
    <w:basedOn w:val="20"/>
    <w:link w:val="2"/>
    <w:qFormat/>
    <w:uiPriority w:val="9"/>
    <w:rPr>
      <w:rFonts w:ascii="Calibri" w:hAnsi="Calibri" w:eastAsia="仿宋_GB2312" w:cs="黑体"/>
      <w:b/>
      <w:bCs/>
      <w:kern w:val="44"/>
      <w:sz w:val="44"/>
      <w:szCs w:val="44"/>
    </w:rPr>
  </w:style>
  <w:style w:type="paragraph" w:customStyle="1" w:styleId="32">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批注文字 Char"/>
    <w:basedOn w:val="20"/>
    <w:link w:val="6"/>
    <w:qFormat/>
    <w:uiPriority w:val="99"/>
    <w:rPr>
      <w:rFonts w:ascii="Calibri" w:hAnsi="Calibri" w:eastAsia="仿宋_GB2312" w:cs="黑体"/>
      <w:sz w:val="28"/>
    </w:rPr>
  </w:style>
  <w:style w:type="character" w:customStyle="1" w:styleId="34">
    <w:name w:val="批注主题 Char"/>
    <w:basedOn w:val="33"/>
    <w:link w:val="17"/>
    <w:semiHidden/>
    <w:qFormat/>
    <w:uiPriority w:val="99"/>
    <w:rPr>
      <w:rFonts w:ascii="Calibri" w:hAnsi="Calibri" w:eastAsia="仿宋_GB2312" w:cs="黑体"/>
      <w:b/>
      <w:bCs/>
      <w:sz w:val="28"/>
    </w:rPr>
  </w:style>
  <w:style w:type="character" w:customStyle="1" w:styleId="35">
    <w:name w:val="批注框文本 Char"/>
    <w:basedOn w:val="20"/>
    <w:link w:val="11"/>
    <w:semiHidden/>
    <w:qFormat/>
    <w:uiPriority w:val="99"/>
    <w:rPr>
      <w:rFonts w:ascii="Calibri" w:hAnsi="Calibri" w:eastAsia="仿宋_GB2312" w:cs="黑体"/>
      <w:sz w:val="18"/>
      <w:szCs w:val="18"/>
    </w:rPr>
  </w:style>
  <w:style w:type="character" w:customStyle="1" w:styleId="36">
    <w:name w:val="标题 3 Char"/>
    <w:basedOn w:val="20"/>
    <w:link w:val="4"/>
    <w:qFormat/>
    <w:uiPriority w:val="9"/>
    <w:rPr>
      <w:rFonts w:ascii="Calibri" w:hAnsi="Calibri" w:eastAsia="仿宋_GB2312"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0CF6-DD1A-4376-8413-2CCF2B668F46}">
  <ds:schemaRefs/>
</ds:datastoreItem>
</file>

<file path=docProps/app.xml><?xml version="1.0" encoding="utf-8"?>
<Properties xmlns="http://schemas.openxmlformats.org/officeDocument/2006/extended-properties" xmlns:vt="http://schemas.openxmlformats.org/officeDocument/2006/docPropsVTypes">
  <Template>Normal</Template>
  <Pages>27</Pages>
  <Words>11289</Words>
  <Characters>11897</Characters>
  <Lines>82</Lines>
  <Paragraphs>23</Paragraphs>
  <TotalTime>2</TotalTime>
  <ScaleCrop>false</ScaleCrop>
  <LinksUpToDate>false</LinksUpToDate>
  <CharactersWithSpaces>12035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2024-04-12T07:46:00Z</dcterms:created>
  <dc:creator>张 宇</dc:creator>
  <cp:lastModifiedBy>Administrator</cp:lastModifiedBy>
  <cp:lastPrinted>2023-04-11T02:57:00Z</cp:lastPrinted>
  <dcterms:modified xsi:type="dcterms:W3CDTF">2024-08-21T04:16:40Z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C4343A7C62D5494F94BE8B7EFCFA0BF9_13</vt:lpwstr>
  </property>
</Properties>
</file>