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租赁、购买执法执勤车项目</w:t>
      </w:r>
    </w:p>
    <w:p w14:paraId="7AEB13A7" w14:textId="77777777" w:rsidR="000048AA"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乌鲁木齐市文化市场综合行政执法队</w:t>
      </w:r>
    </w:p>
    <w:p w14:paraId="275DDF30" w14:textId="77777777" w:rsidR="000048AA"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乌鲁木齐市文化市场综合行政执法队</w:t>
      </w:r>
    </w:p>
    <w:p w14:paraId="5747EF1B" w14:textId="77777777" w:rsidR="000048AA"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祁丽珍</w:t>
      </w:r>
    </w:p>
    <w:p w14:paraId="7DACC143" w14:textId="77777777" w:rsidR="000048AA"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2024年05月13日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d"/>
          <w:rFonts w:ascii="黑体" w:eastAsia="黑体" w:hAnsi="黑体"/>
          <w:b w:val="0"/>
          <w:spacing w:val="-4"/>
          <w:sz w:val="32"/>
          <w:szCs w:val="32"/>
        </w:rPr>
      </w:pPr>
    </w:p>
    <w:p w14:paraId="2EEB6E08"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18E9018D"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3DED2D21"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（一）项目概况：租赁、购买执法执勤车项目为保障文化和旅游市场监管效能而设立，项目安排购置执法执勤车辆2辆、租赁执法执勤车辆2辆。</w:t>
        <w:br/>
        <w:t>1．项目背景、主要内容及实施情况</w:t>
        <w:br/>
        <w:t>乌鲁木齐市文化市场综合行政执法队核定车辆编制24辆，其中公务用车4辆、执法车辆20辆。实有车辆12辆（自购10辆、租赁2辆），因现有车辆老旧、车况差、维修费用高，已严重影响正常执法工作的开展。为应对旅游旺季文旅市场执法艰巨任务，进一步加强旅游市场执法监管，规范我市文旅市场经营秩序，不断提升旅游服务质量，营造良好的文旅营商环境，乌鲁木齐市文化市场综合行政执法队申请购置执法执勤车辆2辆、租赁执法执勤车辆2辆。</w:t>
        <w:br/>
        <w:t>根据《新疆维吾尔自治区党政机关公务用车管理办法》购买车辆标准及乌鲁木齐市机关事务管理局要求，2023年购买、租赁车辆均要求为新能源车。拟购买广汽传祺 AION S 炫580轿车2辆，单价14万，车辆保险0.8万/辆左右，小计29.6万；租赁广汽传祺新能源轿车2辆，单价5.5万，小计11万； </w:t>
        <w:br/>
        <w:t>项目2023年的主要实施内容①租赁执法执勤车2台；②购买执法执勤车2台。</w:t>
        <w:br/>
        <w:t>2023年当年完成情况。实际完成情况为：①根据乌鲁木齐市财政局乌财科教〔2023〕76号《关于下达市文化市场综合行政执法队租赁执法执勤车辆经费的通知》文件精神，我单位联系车辆租赁公司签订租赁合同，租赁广汽传祺新能源轿车2辆，单价5.5万，小计11万元，租赁车辆质量良好，缓解了旅游高峰季执法车辆不足。②根据乌鲁木齐市财政局乌财科教〔2023〕96号《关于下达市文化市场综合行政执法队购置执法执勤车辆及相关经费的通知》文件精神，在专项资金到位后，我单位在“政采云”联系协议采购供应商，签订车辆采购合同，组织资金支付并办理提车手续，每台车实际采购价格14.8万元，合计采购支出29.6万元。因时间临近年终，单位提车手续安排至次年初办理，故此项目中计划的车辆保险费1.6万元资金未申请财政支付。经单位车辆管理人员接收检验，两台车辆质量合格。</w:t>
        <w:br/>
        <w:t>2.资金投入和使用情况</w:t>
        <w:br/>
        <w:t>该项目资金投入情况：经乌财科教〔2023〕76号、乌财科教〔2023〕96号文件批准，项目系2023年年中追加资金项目，预算批复数40.6万元，因此项目资金购置执法车辆需由机关事务管理部门向自治区机关事务管理局申请车辆购置指标，因指标限制，项目资金分批下达，先期下达车辆租赁项目经费11万元，因汽车租赁公司订货周期影响，实际合同签订日期延后。车、辆购置费用27.96万元后期下达，资金到位后即刻签订合同，完成采购项目。</w:t>
        <w:br/>
        <w:t xml:space="preserve">该项目资金使用情况： 项目实际到位资金38.96万元，其中租赁执法车辆2台，每台车辆单价5.5万元，支出租赁费11万元；购置执法车辆2台，每台车辆单位13.98万元，支出车辆购置费27.96万元，合计支出金额为38.96万元，预算执行率100%。 </w:t>
      </w:r>
    </w:p>
    <w:p w14:paraId="4EE91996"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5F877E16"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根据《新疆维吾尔自治区党政机关公务用车管理办法》购买车辆标准及乌鲁木齐市机关事务管理局要求，项目完成后，可即刻应用于单位文化市场监管执法工作，缓解单位车辆保障率低，执法效能不足的问题，为旅游旺季及时查处举报案件，防止发生舆情，维护新疆旅游市场良好形象提供了物质基础。</w:t>
      </w:r>
    </w:p>
    <w:p w14:paraId="6BFCEFBA"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61859553"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5CBE7A93"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1.绩效评价完整性</w:t>
        <w:br/>
        <w:t>首先，需要描述项目的目标、范围和要求是否能够通过绩效评价指标体系完整地体现。此项目根据项目性质和需求，设置了车辆购置数、购置车辆质量、车辆租赁数、成本指标及社会效益等目标，指标体系完整地反映了项目需实现的绩效目标。</w:t>
        <w:br/>
        <w:t>其次，应分析项目的计划和执行过程，以便于体现项目的进展情况和完成度。项目设定的目标，除购置的车辆保险指标外，其他指标设置的绩效目标均100%按时完成。</w:t>
        <w:br/>
        <w:t>最后，需要对评价数据的来源、采集能进行描述，以确保数据的准确性和完整性。项目评价数据，车辆的购置、租赁指标可通过采购合同佐证，成本指标数据可从单位账目查实，单位效益指标等通过单位年度工作绩效及满意度测评结果等反映。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租赁、购买执法执勤车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（1）绩效评价的对象：租赁、购买执法执勤车项目 </w:t>
        <w:br/>
        <w:t>4.绩效评价范围</w:t>
        <w:br/>
        <w:t>1.时间范围：2023年1月1日至2023年12月31日。</w:t>
        <w:br/>
        <w:t>2.项目范围：租赁、购买执法执勤车项目租赁、购买执法执勤车项目安排购置执法执勤车辆2辆、租赁执法执勤车辆2辆。项目评价按照科学公正、统筹兼顾、激励约束、公开透明原则组织实施。绩效评价指标体系遵循相关性、重要性、可比性、系统性、经济性原则，绩效评价指标设计通俗易懂、简便易行，数据的获得应当考虑现实条件和可操作性，符合成本效益原则。结合项目特点，制定符合项目实际的绩效评价指标体系及评分标准，通过数据采集、问卷调查及访谈等形式，对项目进行了客观评价。通过项目实施，购买广汽传祺 AION S 炫580轿车2辆，车辆状况良好；租赁广汽传祺新能源轿车2辆，即刻投入到单位执法活动当中。项目总支出38.96万元，成本控制在预算之内。项目的完成，为应对旅游旺季文化旅游市场执法艰巨任务，进一步加强旅游市场执法监管，规范我市文化旅游市场经营秩序，不断提升旅游服务质量，营造良好的市场营商环境，提供了坚强的物质保障。在财政资金紧张的背景下，项目的立项和实施离不开单位实事求是的情况汇报、离不开上级业务部门和财务部门的关心关怀，离不开两级领导的高度重视和积极协调，这是我们财务部门做好项目保障的宝贵财富。项目在实施过程中还存在一定问题，主要在项目下达后，因履行本级和上级大项支出审批手续过程耽误了太多时间，在采购过程中的统筹协调还不够顺畅，导致资金支付缓慢，甚至失去保障。这警示我们在项目管理过程中，既要关注项目的立项和资金能否及时到位，又要加强采购环节的统筹协调，确保项目及时有效地实施。经对项目综合评价，最终评分结果为：总分为99.8分，绩效评级为“优秀” 。</w:t>
      </w:r>
    </w:p>
    <w:p w14:paraId="1271490C"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1F0C1D90"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购买执法车辆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租赁执法车辆		</w:t>
        <w:br/>
        <w:t>产出	产出质量	购置车辆质量达标率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采购及时率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项目预算率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提高执法效能，保障执法监管快捷高效	项目实施所产生的效益。	项目实施所产生的社会效益、经济效益、生态效益、可持续影响等。可根据项目实际情况有选择地设置和细化。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根据本项目租赁、购买执法执勤车项目的特点，本次评价主要采用比较法和标杆管理法，对项目总预算和明细预算的内容、标准、计划是否经济合理进行深入分析，以考察实际产出和效益是否达到预期。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？《文化市场综合行政执法队财务工作管理办法》</w:t>
        <w:br/>
        <w:t>？《文化市场综合行政执法队财务预算管理制度》</w:t>
        <w:br/>
        <w:t>？《文化市场综合行政执法队单位专项资金管理制度》</w:t>
      </w:r>
    </w:p>
    <w:p w14:paraId="2ED6ECBD" w14:textId="77777777" w:rsidR="000048AA"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0644D6D2"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02BFB2D"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结合项目特点，制定符合项目实际的绩效评价指标体系及评分标准，通过数据采集、问卷调查及访谈等形式，对2023年租赁、购买执法执勤车项目进行客观评价，最终评分结果为：总分为99.8分，绩效评级为“优秀” 。</w:t>
        <w:br/>
        <w:t>项目各部分权重和绩效分值如附表所示：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4.8	95.96%</w:t>
        <w:br/>
        <w:t>		预算执行率	5	5	100%</w:t>
        <w:br/>
        <w:t>		资金使用合规性	3	3	100%</w:t>
        <w:br/>
        <w:t>	组织实施	管理制度健全性	3	3	100%</w:t>
        <w:br/>
        <w:t>		制度执行有效性	4	4	100%</w:t>
        <w:br/>
        <w:t>产出	产出数量	购买执法车辆	5	5	100%</w:t>
        <w:br/>
        <w:t>		租赁执法车辆	5	5	100%</w:t>
        <w:br/>
        <w:t>	产出质量	购置车辆质量达标率	10	10	100%</w:t>
        <w:br/>
        <w:t>	产出时效	采购完成及时率	10	10	100%</w:t>
        <w:br/>
        <w:t>	产出成本	项目预算控制率	10	10	100%</w:t>
        <w:br/>
        <w:t>效益	项目效益	社会效益指标	10	10	100%</w:t>
        <w:br/>
        <w:t>满意度指标完成情况分析	满意度指标	群众满意度	10	10	100%</w:t>
        <w:br/>
        <w:t></w:t>
        <w:br/>
        <w:t>（二）主要绩效</w:t>
        <w:br/>
        <w:t>该项目资金市财政及时拨付，购买广汽传祺 AION S 炫580轿车2辆，车辆状况良好；租赁广汽传祺新能源轿车2辆，即刻投入到单位一线执法活动当中。项目总支出38.96万元，成本控制在预算之内。项目的完成，为应对旅游旺季文化旅游市场执法艰巨任务，进一步加强旅游市场执法监管，规范我市文化旅游市场经营秩序，不断提升旅游服务质量，营造良好的市场营商环境，提供了坚强的物质保障。</w:t>
      </w:r>
    </w:p>
    <w:p w14:paraId="624FD63F" w14:textId="77777777" w:rsidR="000048AA"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2BDB141E"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0E9F8597" w14:textId="77777777" w:rsidR="000048AA"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项目决算指标由3个二级指标和6个三级指标构成，权重为20分，实际得分20分。</w:t>
        <w:br/>
        <w:t>1.项目立项</w:t>
        <w:br/>
        <w:t>立项依据充分性：项目立项符合《新疆维吾尔自治区党政机关公务员用车管理办法》、《乌鲁木齐市党政机关事业单位租赁公务用车管理规定》等政策要求。同时，项目与部门职责赋予的文化旅游市场监管范围相符，属于部门履职所需。此外，本项目符合第三次中央工作座谈会和习近平关于文化和旅游工作重要论述和指示批示精神，符合市委、市政府关于以社会主义核心价值观为引领，以满足人民文化需求、增强人民精神力量为着力点，深入实施文化润疆工程和旅游兴疆战略的决策部署，属于公共财政支持范围，符合中央、地方事权支出责任划分原则。因此，立项依据充分，得4分。</w:t>
        <w:br/>
        <w:t>立项程序规范性: 项目按照单位申请、主管局研究上报、财政部门下达文件确定预算资金的程序审批，项目立项和资金支付均按财务制度报主管局审批；车辆的购置及租赁按照规定程序上报机关事务管理部门审批；项目按照政府采购程序开展。审批文件及项目资料符合制度规定，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购买执法车辆、租赁执法车辆、购置车辆质量达标率、车辆租赁成本、车辆购置成本、车辆保险费、提高执法效能，保障执法监管快捷高效等，可通过数量指标、质量指标、时效指标和成本指标予以量化，并具有确切的评价标准，且指标设定均与目标相关。各项指标均能在现实条件下收集到相关数据进行佐证（项目资料数据可通过向单位办公室查询合同、上级批复文件、相关经费支出凭证及满意度调查问卷等收集佐证），并与当年项目年度计划相对应，故绩效目标明确性指标得分3分。</w:t>
        <w:br/>
        <w:t>综上，该指标满分6分，得分6分。</w:t>
        <w:br/>
        <w:t>3.资金投入</w:t>
        <w:br/>
        <w:t>预算编制科学性：预算编制过程中，车辆购置费标准根据《新疆维吾尔自治区党政机关公务员用车管理办法》明确的采购车型和价格标准，经与协议采购供应商询价确定，租赁车辆价格根据《乌鲁木齐市党政机关事业单位租赁公务用车管理规定》，经与公务用车租赁公司询价确定，车辆保险费根据市场价格确定，确保了资金预算编制的准确科学。故预算编制科学性指标得分3分。</w:t>
        <w:br/>
        <w:t>资金分配合理性： 该项目资金是根据确定的租赁车辆和购置车辆资金预算累加组成，资金需求均经过市场调查。故资金分配合理性指标得分3分。</w:t>
        <w:br/>
        <w:t>综上，该指标满分6分，得分6分。</w:t>
      </w:r>
      <w:r>
        <w:rPr>
          <w:rStyle w:val="ad"/>
          <w:rFonts w:ascii="楷体" w:eastAsia="楷体" w:hAnsi="楷体" w:hint="eastAsia"/>
          <w:b w:val="0"/>
          <w:bCs w:val="0"/>
          <w:spacing w:val="-4"/>
          <w:sz w:val="32"/>
          <w:szCs w:val="32"/>
        </w:rPr>
        <w:tab/>
      </w:r>
    </w:p>
    <w:p w14:paraId="18D4984C" w14:textId="77777777" w:rsidR="000048AA"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2EE3560E"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项目过程指标由2个二级指标和5个三级指标构成，权重为20分，实际得分19.8分。</w:t>
        <w:br/>
        <w:t>1.资金管理</w:t>
        <w:br/>
        <w:t>资金到位率：项目资金由财政分批拨付，其中租赁车辆资金2023年7月6日到位，购置车辆资金2023年9月5日到位。到位资金合计为38.96万元，预算批复资金为40.6万元，预算到位率为95.96%，故资金到位率指标得分4.80分。</w:t>
        <w:br/>
        <w:t>预算执行率：</w:t>
        <w:br/>
        <w:t>该项目租赁汽车资金11万元于2023年12月13日由单位支付给乌鲁木齐城投城建资源开发有限公司；购置车辆资金27.96万元于2023年12月21日由单位支付给乌鲁木齐新市埃安汽车销售服务有限公司。项目到位资金38.96万元，执行38.96万元，预算执行率为100%。故预算执行率得分为5分。</w:t>
        <w:br/>
        <w:t>资金使用合规性：本项目资金的使用符合“三重一大”决策制度和预算资金管理制度以及有关乌鲁木齐市文化市场综合行政执法队专项资金管理办法的规定。同时，资金的拨付有乌鲁木齐市财政局财政分管部门及预算部门审批程序，需要履行项目报批及资金支付手续，符合项目预算批复或合同规定的用途，不存在截留、挤占、挪用、虚列支出等情况。故资金使用合规性得分为3分。</w:t>
        <w:br/>
        <w:t>综上，该指标满分13分，得分12.8分。</w:t>
        <w:br/>
        <w:t>2.组织实施</w:t>
        <w:br/>
        <w:t>管理制度健全性：乌鲁木齐市文化市场综合行政执法队已制定相应的《文化市场综合行政执法队财务工作管理办法》及《文化市场综合行政执法队财务预算管理制度》，且制度合法、合规、完整，为项目顺利实施提供重要保障。故管理制度健全性得分为3分。</w:t>
        <w:br/>
        <w:t>制度执行有效性：根据评价小组核查情况，乌鲁木齐市文化市场综合行政执法队严格遵守相关法律法规和相关管理规定，整体管理合理有序，项目完成后，及时将会计凭证、固定资产入库单等相关资料分类归档，制度执行有效。故制度执行有效性指标得分4分。</w:t>
        <w:br/>
        <w:t>综上，该指标满分7分，得分7分。</w:t>
      </w:r>
    </w:p>
    <w:p w14:paraId="626924A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6AF5AFA"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项目产出指标由4个二级指标和5个三级指标构成，权重为40分，实际得分40分。</w:t>
        <w:br/>
        <w:t>1.产出数量</w:t>
        <w:br/>
        <w:t>数量指标“购买执法车辆”的目标值是2个，2023年度我单位实际完成2个，购买广汽传祺 AION S 炫580轿车2辆，车辆状况良好；购置车辆资金27.96万元于2023年12月21日由单位支付给乌鲁木齐新市埃安汽车销售服务有限公司。</w:t>
        <w:br/>
        <w:t>数量指标“租赁执法车辆”的目标值是2个，2023年度我单位实际完成2个，租赁广汽传祺新能源轿车2辆，租赁汽车资金11万元于2023年12月13日由单位支付给乌鲁木齐城投城建资源开发有限公司。</w:t>
        <w:br/>
        <w:t>实际完成率：100%，故实际完成率得分为10分。</w:t>
        <w:br/>
        <w:t>2.产出质量</w:t>
        <w:br/>
        <w:t>购置车辆质量达标率：经车管部门验收，购置车辆均验收合格，质量达标率得分为10分。</w:t>
        <w:br/>
        <w:t>3.产出时效</w:t>
        <w:br/>
        <w:t>完成及时性：</w:t>
        <w:br/>
        <w:t>此项目在执行过程中注重项目全过程管理，项目负责人紧盯项目各环节狠抓落实，各业务部门加强沟通协调，确保了采购工作在2023年内完成，并及时投入使用，得分为10分。</w:t>
        <w:br/>
        <w:t>4.产出成本</w:t>
        <w:br/>
        <w:t>项目预算控制率：本项目实际支出38.96万元，无超支情况，项目资金基本完成，得分为10。</w:t>
        <w:br/>
        <w:t>综上，该部分指标满分40分，得分40分。</w:t>
      </w:r>
    </w:p>
    <w:p w14:paraId="404219E3" w14:textId="77777777" w:rsidR="000048AA"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5CE82706" w14:textId="380AB000" w:rsidR="009C229E" w:rsidRDefault="00000000" w:rsidP="000B0B98">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项目效益指标由1个二级指标和1个三级指标构成，权重为10分，实际得分10分。 </w:t>
        <w:br/>
        <w:t>1.项目效益</w:t>
        <w:br/>
        <w:t>（1）实施效益</w:t>
        <w:br/>
        <w:t>经济效益指标：不适用。 </w:t>
        <w:br/>
        <w:t>社会效益指标：评价指标“提高执法效能，保障执法监管快捷高效”，指标值：完全达到预期，实际完成值：达成年度指标。本项目的实施为应对旅游旺季文旅市场执法艰巨任务，进一步加强旅游市场执法监管，规范我市文旅市场经营秩序，不断提升旅游服务质量，营造良好的文旅营商环境，提供了坚强的物质保障。</w:t>
        <w:br/>
        <w:t>生态效益指标：不适用。</w:t>
        <w:br/>
        <w:t>综上，该指标满分10分，得分10分。</w:t>
      </w:r>
    </w:p>
    <w:p w14:paraId="57FD828A" w14:textId="202F46A4"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（1）满意度指标</w:t>
        <w:br/>
        <w:t>群众满意度：评价指标“群众满意度”，指标值：≥93%，实际完成值：≥93%。通过设置问卷调查的方式进行考评评价，共计调查样本总量为50个样本，有效调查问卷50份。其中，统计“满意”的平均值为100%。故满意度指标得分为10分。</w:t>
        <w:br/>
        <w:t>综上，该指标满分10分，得分10分。</w:t>
      </w:r>
    </w:p>
    <w:p w14:paraId="3385D9A6" w14:textId="77777777" w:rsidR="000048AA" w:rsidRDefault="000048AA">
      <w:pPr>
        <w:spacing w:line="540" w:lineRule="exact"/>
        <w:ind w:firstLine="567"/>
        <w:rPr>
          <w:rStyle w:val="ad"/>
          <w:rFonts w:ascii="楷体" w:eastAsia="楷体" w:hAnsi="楷体"/>
          <w:spacing w:val="-4"/>
          <w:sz w:val="32"/>
          <w:szCs w:val="32"/>
        </w:rPr>
      </w:pPr>
    </w:p>
    <w:p w14:paraId="75C28D89" w14:textId="468D6AD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000000">
        <w:rPr>
          <w:rStyle w:val="ad"/>
          <w:rFonts w:ascii="黑体" w:eastAsia="黑体" w:hAnsi="黑体" w:hint="eastAsia"/>
          <w:b w:val="0"/>
          <w:spacing w:val="-4"/>
          <w:sz w:val="32"/>
          <w:szCs w:val="32"/>
        </w:rPr>
        <w:t>、主要经验及做法、存在的问题及原因分析</w:t>
      </w:r>
    </w:p>
    <w:p w14:paraId="43BCB296" w14:textId="77777777" w:rsidR="000048AA" w:rsidRDefault="00000000">
      <w:pPr>
        <w:spacing w:line="540" w:lineRule="exact"/>
        <w:ind w:firstLine="567"/>
        <w:rPr>
          <w:rFonts w:ascii="仿宋_GB2312" w:eastAsia="仿宋_GB2312"/>
          <w:spacing w:val="-4"/>
          <w:sz w:val="32"/>
          <w:szCs w:val="32"/>
        </w:rPr>
      </w:pPr>
      <w:r>
        <w:rPr>
          <w:rStyle w:val="ad"/>
          <w:rFonts w:ascii="楷体" w:eastAsia="楷体" w:hAnsi="楷体" w:hint="eastAsia"/>
          <w:b w:val="0"/>
          <w:bCs w:val="0"/>
          <w:spacing w:val="-4"/>
          <w:sz w:val="32"/>
          <w:szCs w:val="32"/>
        </w:rPr>
        <w:t>（一）主要经验及做法</w:t>
        <w:br/>
        <w:t>该项目为应对旅游旺季文旅市场执法艰巨任务，进一步加强旅游市场执法监管，规范我市文旅市场经营秩序，不断提升旅游服务质量，营造良好的文旅营商环境而申请设立。在财政资金紧张的背景下，项目的立项和实施离不开单位实事求是的情况汇报、离不开上级业务部门和财务部门的关心关怀，离不开两级领导的高度重视和积极协调，这是我们财务部门做好项目保障的宝贵财富。</w:t>
        <w:br/>
        <w:t>（二）存在的问题及原因分析</w:t>
        <w:br/>
        <w:t>在项目下达后，因履行本级和上级大项支出审批手续过程耽误了时间，在采购过程中的统筹协调还不够顺畅，导致资金支付缓慢。这警示我们在项目管理过程中，既要关注项目的立项和资金能否及时到位，又要加强采购环节的统筹协调，确保项目及时有效地实施。</w:t>
      </w:r>
    </w:p>
    <w:p w14:paraId="391BFB09" w14:textId="21B51445"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w:t>
      </w:r>
      <w:r w:rsidR="00000000">
        <w:rPr>
          <w:rStyle w:val="ad"/>
          <w:rFonts w:ascii="黑体" w:eastAsia="黑体" w:hAnsi="黑体" w:hint="eastAsia"/>
          <w:b w:val="0"/>
          <w:spacing w:val="-4"/>
          <w:sz w:val="32"/>
          <w:szCs w:val="32"/>
        </w:rPr>
        <w:t>、有关建议</w:t>
      </w:r>
    </w:p>
    <w:p w14:paraId="017A5A3F" w14:textId="77777777" w:rsidR="000048AA"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建议在项目管理中，各业务部门既要加强协调配合，又要做到项目由专人统筹实施，确保项目按既定目标有效推进。</w:t>
      </w:r>
    </w:p>
    <w:p w14:paraId="4DE4CB6C" w14:textId="75B864F1" w:rsidR="000048AA" w:rsidRDefault="003A1721">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w:t>
      </w:r>
      <w:r w:rsidR="00000000">
        <w:rPr>
          <w:rStyle w:val="ad"/>
          <w:rFonts w:ascii="黑体" w:eastAsia="黑体" w:hAnsi="黑体" w:hint="eastAsia"/>
          <w:b w:val="0"/>
          <w:spacing w:val="-4"/>
          <w:sz w:val="32"/>
          <w:szCs w:val="32"/>
        </w:rPr>
        <w:t>、其他需要说明的问题</w:t>
      </w:r>
    </w:p>
    <w:p w14:paraId="5D5CD257" w14:textId="77777777" w:rsidR="000048AA"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14:paraId="4CFE2C52" w14:textId="77777777" w:rsidR="000048AA" w:rsidRDefault="000048AA">
      <w:pPr>
        <w:spacing w:line="540" w:lineRule="exact"/>
        <w:ind w:firstLine="567"/>
        <w:rPr>
          <w:rStyle w:val="ad"/>
          <w:rFonts w:ascii="仿宋" w:eastAsia="仿宋" w:hAnsi="仿宋"/>
          <w:b w:val="0"/>
          <w:spacing w:val="-4"/>
          <w:sz w:val="32"/>
          <w:szCs w:val="32"/>
        </w:rPr>
      </w:pPr>
    </w:p>
    <w:p w14:paraId="4DF72206" w14:textId="77777777" w:rsidR="000048AA" w:rsidRDefault="000048AA">
      <w:pPr>
        <w:spacing w:line="540" w:lineRule="exact"/>
        <w:ind w:firstLine="567"/>
        <w:rPr>
          <w:rStyle w:val="ad"/>
          <w:rFonts w:ascii="仿宋" w:eastAsia="仿宋" w:hAnsi="仿宋"/>
          <w:b w:val="0"/>
          <w:spacing w:val="-4"/>
          <w:sz w:val="32"/>
          <w:szCs w:val="32"/>
        </w:rPr>
      </w:pPr>
    </w:p>
    <w:p w14:paraId="1CE13106" w14:textId="77777777" w:rsidR="000048AA" w:rsidRDefault="000048AA">
      <w:pPr>
        <w:spacing w:line="540" w:lineRule="exact"/>
        <w:ind w:firstLine="567"/>
        <w:rPr>
          <w:rStyle w:val="ad"/>
          <w:rFonts w:ascii="仿宋" w:eastAsia="仿宋" w:hAnsi="仿宋"/>
          <w:b w:val="0"/>
          <w:spacing w:val="-4"/>
          <w:sz w:val="32"/>
          <w:szCs w:val="32"/>
        </w:rPr>
      </w:pPr>
    </w:p>
    <w:p w14:paraId="06227BCA" w14:textId="77777777" w:rsidR="000048AA" w:rsidRDefault="000048AA">
      <w:pPr>
        <w:spacing w:line="540" w:lineRule="exact"/>
        <w:ind w:firstLine="567"/>
        <w:rPr>
          <w:rStyle w:val="ad"/>
          <w:rFonts w:ascii="仿宋" w:eastAsia="仿宋" w:hAnsi="仿宋"/>
          <w:b w:val="0"/>
          <w:spacing w:val="-4"/>
          <w:sz w:val="32"/>
          <w:szCs w:val="32"/>
        </w:rPr>
      </w:pPr>
    </w:p>
    <w:p w14:paraId="73F3A83B" w14:textId="77777777" w:rsidR="000048AA" w:rsidRDefault="000048AA">
      <w:pPr>
        <w:spacing w:line="540" w:lineRule="exact"/>
        <w:ind w:firstLine="567"/>
        <w:rPr>
          <w:rStyle w:val="ad"/>
          <w:rFonts w:ascii="仿宋" w:eastAsia="仿宋" w:hAnsi="仿宋"/>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E1755F" w14:textId="77777777" w:rsidR="0083370B" w:rsidRDefault="0083370B">
      <w:r>
        <w:separator/>
      </w:r>
    </w:p>
  </w:endnote>
  <w:endnote w:type="continuationSeparator" w:id="0">
    <w:p w14:paraId="12EB7A3D" w14:textId="77777777" w:rsidR="0083370B" w:rsidRDefault="00833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DDC7CF" w14:textId="77777777" w:rsidR="0083370B" w:rsidRDefault="0083370B">
      <w:r>
        <w:separator/>
      </w:r>
    </w:p>
  </w:footnote>
  <w:footnote w:type="continuationSeparator" w:id="0">
    <w:p w14:paraId="581B45A7" w14:textId="77777777" w:rsidR="0083370B" w:rsidRDefault="00833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95</Words>
  <Characters>546</Characters>
  <Application>Microsoft Office Word</Application>
  <DocSecurity>0</DocSecurity>
  <Lines>4</Lines>
  <Paragraphs>1</Paragraphs>
  <ScaleCrop>false</ScaleCrop>
  <Company/>
  <LinksUpToDate>false</LinksUpToDate>
  <CharactersWithSpaces>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Lenovo</cp:lastModifiedBy>
  <cp:lastPrinted>2018-12-31T10:56:00Z</cp:lastPrinted>
  <dcterms:modified xsi:type="dcterms:W3CDTF">2024-03-18T05:17:00Z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