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 xml:space="preserve">（   </w:t>
      </w:r>
      <w:r>
        <w:rPr>
          <w:rStyle w:val="18"/>
          <w:rFonts w:hint="default" w:ascii="Times New Roman" w:hAnsi="Times New Roman" w:eastAsia="方正仿宋_GBK" w:cs="Times New Roman"/>
          <w:spacing w:val="-4"/>
          <w:sz w:val="32"/>
          <w:szCs w:val="32"/>
        </w:rPr>
        <w:t>2023</w:t>
      </w:r>
      <w:r>
        <w:rPr>
          <w:rFonts w:hint="default" w:ascii="Times New Roman" w:hAnsi="Times New Roman" w:eastAsia="方正仿宋_GBK" w:cs="Times New Roman"/>
          <w:kern w:val="0"/>
          <w:sz w:val="32"/>
          <w:szCs w:val="32"/>
        </w:rPr>
        <w:t xml:space="preserve">  年度）</w:t>
      </w:r>
    </w:p>
    <w:p>
      <w:pPr>
        <w:spacing w:line="540" w:lineRule="exact"/>
        <w:jc w:val="center"/>
        <w:rPr>
          <w:rFonts w:hint="default" w:ascii="Times New Roman" w:hAnsi="Times New Roman" w:eastAsia="方正仿宋_GBK" w:cs="Times New Roman"/>
          <w:kern w:val="0"/>
          <w:sz w:val="32"/>
          <w:szCs w:val="32"/>
        </w:rPr>
      </w:pPr>
    </w:p>
    <w:p>
      <w:pPr>
        <w:spacing w:line="540" w:lineRule="exact"/>
        <w:jc w:val="center"/>
        <w:rPr>
          <w:rFonts w:hint="default" w:ascii="Times New Roman" w:hAnsi="Times New Roman" w:eastAsia="方正仿宋_GBK" w:cs="Times New Roman"/>
          <w:kern w:val="0"/>
          <w:sz w:val="32"/>
          <w:szCs w:val="32"/>
        </w:rPr>
      </w:pPr>
    </w:p>
    <w:p>
      <w:pPr>
        <w:spacing w:line="540" w:lineRule="exact"/>
        <w:jc w:val="center"/>
        <w:rPr>
          <w:rFonts w:hint="default" w:ascii="Times New Roman" w:hAnsi="Times New Roman" w:eastAsia="方正仿宋_GBK" w:cs="Times New Roman"/>
          <w:kern w:val="0"/>
          <w:sz w:val="32"/>
          <w:szCs w:val="32"/>
        </w:rPr>
      </w:pPr>
    </w:p>
    <w:p>
      <w:pPr>
        <w:spacing w:line="540" w:lineRule="exact"/>
        <w:jc w:val="center"/>
        <w:rPr>
          <w:rFonts w:hint="default" w:ascii="Times New Roman" w:hAnsi="Times New Roman" w:eastAsia="方正仿宋_GBK" w:cs="Times New Roman"/>
          <w:kern w:val="0"/>
          <w:sz w:val="32"/>
          <w:szCs w:val="32"/>
        </w:rPr>
      </w:pPr>
    </w:p>
    <w:p>
      <w:pPr>
        <w:spacing w:line="540" w:lineRule="exact"/>
        <w:jc w:val="center"/>
        <w:rPr>
          <w:rFonts w:hint="default" w:ascii="Times New Roman" w:hAnsi="Times New Roman" w:eastAsia="方正仿宋_GBK" w:cs="Times New Roman"/>
          <w:kern w:val="0"/>
          <w:sz w:val="32"/>
          <w:szCs w:val="32"/>
        </w:rPr>
      </w:pPr>
    </w:p>
    <w:p>
      <w:pPr>
        <w:spacing w:line="540" w:lineRule="exact"/>
        <w:jc w:val="center"/>
        <w:rPr>
          <w:rFonts w:hint="default" w:ascii="Times New Roman" w:hAnsi="Times New Roman" w:eastAsia="方正仿宋_GBK" w:cs="Times New Roman"/>
          <w:kern w:val="0"/>
          <w:sz w:val="32"/>
          <w:szCs w:val="32"/>
        </w:rPr>
      </w:pPr>
    </w:p>
    <w:p>
      <w:pPr>
        <w:spacing w:line="540" w:lineRule="exact"/>
        <w:rPr>
          <w:rFonts w:hint="default" w:ascii="Times New Roman" w:hAnsi="Times New Roman" w:eastAsia="方正仿宋_GBK" w:cs="Times New Roman"/>
          <w:kern w:val="0"/>
          <w:sz w:val="32"/>
          <w:szCs w:val="32"/>
        </w:rPr>
      </w:pPr>
    </w:p>
    <w:p>
      <w:pPr>
        <w:spacing w:line="700" w:lineRule="exact"/>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 xml:space="preserve">     </w:t>
      </w:r>
    </w:p>
    <w:p>
      <w:pPr>
        <w:spacing w:line="700" w:lineRule="exact"/>
        <w:ind w:firstLine="800" w:firstLineChars="25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项目名称：</w:t>
      </w:r>
      <w:r>
        <w:rPr>
          <w:rStyle w:val="18"/>
          <w:rFonts w:hint="default" w:ascii="Times New Roman" w:hAnsi="Times New Roman" w:eastAsia="方正仿宋_GBK" w:cs="Times New Roman"/>
          <w:spacing w:val="-4"/>
          <w:sz w:val="32"/>
          <w:szCs w:val="32"/>
        </w:rPr>
        <w:t>2022年会展周边道路绿地及景观带养护管理专项经费</w:t>
      </w:r>
    </w:p>
    <w:p>
      <w:pPr>
        <w:spacing w:line="540" w:lineRule="exact"/>
        <w:ind w:firstLine="567"/>
        <w:rPr>
          <w:rFonts w:hint="default" w:ascii="Times New Roman" w:hAnsi="Times New Roman" w:eastAsia="方正仿宋_GBK" w:cs="Times New Roman"/>
          <w:b/>
          <w:bCs/>
          <w:spacing w:val="-4"/>
          <w:sz w:val="32"/>
          <w:szCs w:val="32"/>
        </w:rPr>
      </w:pPr>
      <w:r>
        <w:rPr>
          <w:rFonts w:hint="default" w:ascii="Times New Roman" w:hAnsi="Times New Roman" w:eastAsia="方正仿宋_GBK" w:cs="Times New Roman"/>
          <w:kern w:val="0"/>
          <w:sz w:val="32"/>
          <w:szCs w:val="32"/>
        </w:rPr>
        <w:t xml:space="preserve">  实施单位（公章）：</w:t>
      </w:r>
      <w:r>
        <w:rPr>
          <w:rStyle w:val="18"/>
          <w:rFonts w:hint="default" w:ascii="Times New Roman" w:hAnsi="Times New Roman" w:eastAsia="方正仿宋_GBK" w:cs="Times New Roman"/>
          <w:spacing w:val="-4"/>
          <w:sz w:val="32"/>
          <w:szCs w:val="32"/>
        </w:rPr>
        <w:t>市水上乐园</w:t>
      </w:r>
    </w:p>
    <w:p>
      <w:pPr>
        <w:spacing w:line="540" w:lineRule="exact"/>
        <w:ind w:firstLine="800" w:firstLineChars="250"/>
        <w:rPr>
          <w:rFonts w:hint="default" w:ascii="Times New Roman" w:hAnsi="Times New Roman" w:eastAsia="方正仿宋_GBK" w:cs="Times New Roman"/>
          <w:b/>
          <w:bCs/>
          <w:spacing w:val="-4"/>
          <w:sz w:val="32"/>
          <w:szCs w:val="32"/>
        </w:rPr>
      </w:pPr>
      <w:r>
        <w:rPr>
          <w:rFonts w:hint="default" w:ascii="Times New Roman" w:hAnsi="Times New Roman" w:eastAsia="方正仿宋_GBK" w:cs="Times New Roman"/>
          <w:kern w:val="0"/>
          <w:sz w:val="32"/>
          <w:szCs w:val="32"/>
        </w:rPr>
        <w:t>主管部门（公章）：</w:t>
      </w:r>
      <w:r>
        <w:rPr>
          <w:rStyle w:val="18"/>
          <w:rFonts w:hint="default" w:ascii="Times New Roman" w:hAnsi="Times New Roman" w:eastAsia="方正仿宋_GBK" w:cs="Times New Roman"/>
          <w:spacing w:val="-4"/>
          <w:sz w:val="32"/>
          <w:szCs w:val="32"/>
        </w:rPr>
        <w:t>市水上乐园</w:t>
      </w:r>
    </w:p>
    <w:p>
      <w:pPr>
        <w:spacing w:line="540" w:lineRule="exact"/>
        <w:ind w:firstLine="800" w:firstLineChars="250"/>
        <w:rPr>
          <w:rFonts w:hint="default" w:ascii="Times New Roman" w:hAnsi="Times New Roman" w:eastAsia="方正仿宋_GBK" w:cs="Times New Roman"/>
          <w:b/>
          <w:bCs/>
          <w:spacing w:val="-4"/>
          <w:sz w:val="32"/>
          <w:szCs w:val="32"/>
        </w:rPr>
      </w:pPr>
      <w:r>
        <w:rPr>
          <w:rFonts w:hint="default" w:ascii="Times New Roman" w:hAnsi="Times New Roman" w:eastAsia="方正仿宋_GBK" w:cs="Times New Roman"/>
          <w:kern w:val="0"/>
          <w:sz w:val="32"/>
          <w:szCs w:val="32"/>
        </w:rPr>
        <w:t>项目负责人（签章）：</w:t>
      </w:r>
      <w:r>
        <w:rPr>
          <w:rStyle w:val="18"/>
          <w:rFonts w:hint="default" w:ascii="Times New Roman" w:hAnsi="Times New Roman" w:eastAsia="方正仿宋_GBK" w:cs="Times New Roman"/>
          <w:spacing w:val="-4"/>
          <w:sz w:val="32"/>
          <w:szCs w:val="32"/>
        </w:rPr>
        <w:t>常林</w:t>
      </w:r>
    </w:p>
    <w:p>
      <w:pPr>
        <w:spacing w:line="540" w:lineRule="exact"/>
        <w:ind w:left="273" w:firstLine="567"/>
        <w:rPr>
          <w:rStyle w:val="18"/>
          <w:rFonts w:hint="default" w:ascii="Times New Roman" w:hAnsi="Times New Roman" w:eastAsia="方正仿宋_GBK" w:cs="Times New Roman"/>
          <w:spacing w:val="-4"/>
          <w:sz w:val="32"/>
          <w:szCs w:val="32"/>
        </w:rPr>
      </w:pPr>
      <w:r>
        <w:rPr>
          <w:rFonts w:hint="default" w:ascii="Times New Roman" w:hAnsi="Times New Roman" w:eastAsia="方正仿宋_GBK" w:cs="Times New Roman"/>
          <w:kern w:val="0"/>
          <w:sz w:val="32"/>
          <w:szCs w:val="32"/>
        </w:rPr>
        <w:t>填报时间：</w:t>
      </w:r>
      <w:r>
        <w:rPr>
          <w:rStyle w:val="18"/>
          <w:rFonts w:hint="default" w:ascii="Times New Roman" w:hAnsi="Times New Roman" w:eastAsia="方正仿宋_GBK" w:cs="Times New Roman"/>
          <w:spacing w:val="-4"/>
          <w:sz w:val="32"/>
          <w:szCs w:val="32"/>
        </w:rPr>
        <w:t>2024年05月09日</w:t>
      </w:r>
    </w:p>
    <w:p>
      <w:pPr>
        <w:spacing w:line="700" w:lineRule="exact"/>
        <w:ind w:firstLine="755" w:firstLineChars="236"/>
        <w:jc w:val="left"/>
        <w:rPr>
          <w:rFonts w:hint="default" w:ascii="Times New Roman" w:hAnsi="Times New Roman" w:eastAsia="方正仿宋_GBK" w:cs="Times New Roman"/>
          <w:kern w:val="0"/>
          <w:sz w:val="32"/>
          <w:szCs w:val="32"/>
        </w:rPr>
      </w:pPr>
    </w:p>
    <w:p>
      <w:pPr>
        <w:spacing w:line="540" w:lineRule="exact"/>
        <w:rPr>
          <w:rStyle w:val="18"/>
          <w:rFonts w:hint="default" w:ascii="Times New Roman" w:hAnsi="Times New Roman" w:eastAsia="方正仿宋_GBK" w:cs="Times New Roman"/>
          <w:b w:val="0"/>
          <w:spacing w:val="-4"/>
          <w:sz w:val="32"/>
          <w:szCs w:val="32"/>
        </w:rPr>
      </w:pPr>
    </w:p>
    <w:p>
      <w:pPr>
        <w:spacing w:line="540" w:lineRule="exact"/>
        <w:ind w:firstLine="640"/>
        <w:rPr>
          <w:rStyle w:val="18"/>
          <w:rFonts w:hint="default" w:ascii="Times New Roman" w:hAnsi="Times New Roman" w:eastAsia="方正仿宋_GBK" w:cs="Times New Roman"/>
          <w:b w:val="0"/>
          <w:spacing w:val="-4"/>
          <w:sz w:val="32"/>
          <w:szCs w:val="32"/>
        </w:rPr>
      </w:pPr>
      <w:r>
        <w:rPr>
          <w:rStyle w:val="18"/>
          <w:rFonts w:hint="default" w:ascii="Times New Roman" w:hAnsi="Times New Roman" w:eastAsia="方正仿宋_GBK" w:cs="Times New Roman"/>
          <w:b w:val="0"/>
          <w:spacing w:val="-4"/>
          <w:sz w:val="32"/>
          <w:szCs w:val="32"/>
        </w:rPr>
        <w:t>一、基本情况</w:t>
      </w:r>
    </w:p>
    <w:p>
      <w:pPr>
        <w:spacing w:line="540" w:lineRule="exact"/>
        <w:ind w:firstLine="567"/>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spacing w:val="-4"/>
          <w:sz w:val="32"/>
          <w:szCs w:val="32"/>
        </w:rPr>
        <w:t>（一）项目概况</w:t>
      </w:r>
      <w:bookmarkStart w:id="0" w:name="_GoBack"/>
      <w:bookmarkEnd w:id="0"/>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项目概况：根据乌财建【2023】29号、乌财建【2023】72号、乌财建【2023】176号、乌财建【2023】394号文件批准，“会展周边道路绿地及景观带养护管理专项经费”在我园实施，该项目位于红光山路及会展大道范围内，绿地面积约56万平方米，养护主要内容：现有绿地的整形修剪、灌溉、追肥、病虫害防治、绿化补植、灌溉管网修缮、卫生保洁等。</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1．项目背景、主要内容及实施情况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实施背景：会展周边道路绿地及景观带养护管理专项经费项目，是根据乌财建【2019】383号首次在我园执行，属于市级重点城市绿化节点项目，为亚欧博览会等重大活动增光添彩，代表了我市高质量城市绿化形象。</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项目的主要实施内容：1、现有绿地的整形修剪；2、灌溉；3、追肥；4、病虫害防治；5、绿化补植；6、配套基础设施维修；7、卫生保洁。</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属于2022年完成，但是城维费资金于2023年拨付，实际完成情况为：1、现有绿地的整形修剪已完成(乔木修剪一次，灌木修剪四次，草坪修剪四次)；2、灌溉已完成；3、追肥已完成；4、病虫害防治已完成（涂白春秋各一次，病虫害防治四月至九月每月一次）；5、绿化补植灌木、花卉已完成；6、灌溉管网修缮已完成；7、卫生保洁完成达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2.资金投入和使用情况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资金投入情况：经乌财建【2023】29号、乌财建【2023】72号、乌财建【2023】176号、乌财建【2023】394号文件批准，项目系2023年本级资金，共安排预算267.85万元，于2023年年中追加，年中资金调整情况为：据乌财建【2023】29号首次目标申报资金86万元，2023年3月根据乌财建【2023】72号第一次调整追加资金52万元，2023年6月根据乌财建【2023】176号第二次调整追加资金100万元，2023年12月根据乌财建【2023】394号第三次调整追加资金29.85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资金使用情况：总预算267.85万元、资金投入包括：1、绿化日常养护整形修剪、卫生保洁等人工劳务；2、灌溉的水费；3、病虫害防治、绿化补植及灌溉管网修缮等。每个方向的预算投入：绿化养护人工费170.95万元，水费75.36万元，电费2.32万元， 材料费19.22万元。执行支付已全部完成，预算执行率为100%。</w:t>
      </w:r>
      <w:r>
        <w:rPr>
          <w:rStyle w:val="18"/>
          <w:rFonts w:hint="default" w:ascii="Times New Roman" w:hAnsi="Times New Roman" w:eastAsia="方正仿宋_GBK" w:cs="Times New Roman"/>
          <w:b w:val="0"/>
          <w:bCs w:val="0"/>
          <w:spacing w:val="-4"/>
          <w:sz w:val="32"/>
          <w:szCs w:val="32"/>
        </w:rPr>
        <w:cr/>
      </w:r>
    </w:p>
    <w:p>
      <w:pPr>
        <w:spacing w:line="540" w:lineRule="exact"/>
        <w:ind w:firstLine="567"/>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spacing w:val="-4"/>
          <w:sz w:val="32"/>
          <w:szCs w:val="32"/>
        </w:rPr>
        <w:t>（二）项目绩效目标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该项目为跨年项目，项目属于2022年，但财政资金拨付到2023年，2023年完成支付，故属于跨年项目。</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总体绩效目标：2022年会展周边道路绿地及景观带养护管理专项经费，养护面积约56万平方米，其中：1、现有绿地的整形修剪；2、灌溉；3、追肥；4、病虫害防治；5、绿化补植；6、灌溉管网修缮；7、卫生保洁；通过项目的实施，保护和利用会展周边道路绿地及景观带现状及自然资源为前提，给广大市民提供一个融生态保护、景观营造等多重功能于一体的综合性城市大面积绿化片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阶段性目标为：在2022年完成目标，其中：1、现有绿地的整形修剪已完成(乔木修剪一次，灌木修剪四次，草坪修剪四次)；2、灌溉已完成；3、追肥已完成；4、病虫害防治已完成（涂白春秋各一次，病虫害防治四月至九月每月一次）；5、绿化补植灌木、花卉已完成；6、灌溉管网修缮已完成；7、卫生保洁完成达标。养护总面积约56万㎡。</w:t>
      </w:r>
    </w:p>
    <w:p>
      <w:pPr>
        <w:spacing w:line="540" w:lineRule="exact"/>
        <w:ind w:firstLine="640"/>
        <w:rPr>
          <w:rStyle w:val="18"/>
          <w:rFonts w:hint="default" w:ascii="Times New Roman" w:hAnsi="Times New Roman" w:eastAsia="方正仿宋_GBK" w:cs="Times New Roman"/>
          <w:b w:val="0"/>
          <w:spacing w:val="-4"/>
          <w:sz w:val="32"/>
          <w:szCs w:val="32"/>
        </w:rPr>
      </w:pPr>
      <w:r>
        <w:rPr>
          <w:rStyle w:val="18"/>
          <w:rFonts w:hint="default" w:ascii="Times New Roman" w:hAnsi="Times New Roman" w:eastAsia="方正仿宋_GBK" w:cs="Times New Roman"/>
          <w:b w:val="0"/>
          <w:spacing w:val="-4"/>
          <w:sz w:val="32"/>
          <w:szCs w:val="32"/>
        </w:rPr>
        <w:t>二、绩效评价工作开展情况</w:t>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spacing w:val="-4"/>
          <w:sz w:val="32"/>
          <w:szCs w:val="32"/>
        </w:rPr>
        <w:t>（一）绩效评价目的、对象和范围</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1.绩效评价完整性</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首先，该项目的项目总目标：保护和利用会展周边道路绿地及景观带现状及自然资源为前提，对会展周边道路绿地进行养护管理。给广大市民提供一个融生态保护、景观营造等多重功能于一体的综合性城市大面积绿化片区。范围包括：会展周边道路绿地及景观带，养护面积约56万平方米，其中：1、现有绿地的整形修剪；2、灌溉；3、追肥；4、病虫害防治；5、绿化补植；6、灌溉管网修缮；7、卫生保洁。要求达到城市一级道路绿地管养水平。我单位此项目目标申报时共设置9个绩效目标，包括5个产出指标，1个成本指标，2个效益指标，1个满意度指标。通过设置这些绩效评价指标体系能够完整地体现该项目的整体目标及中期目标的具体实现。</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其次，该项目的管理按照年初有计划、有目标并有专业人员全程跟进，分管领导精心负责，所有指标的检查材料及调查问卷全部真实可查。</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2.评价目的</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会展周边道路绿地及景观带养护管理专项经费项目的实施情况，并考察该项目实施过程和效果。（2）通过评价，客观公正反映项目立项科学性、项目管理规范性、项目实施有效性和有效达到项目效果，总结项目实施的经验，发现项目实施过程中存在的问题，提出合理化建议，为完善项目管理和相关部门决策提供参考依据，切实提高财政资金使用效益。</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3.评价对象</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（1）绩效评价的对象：会展周边道路绿地及景观带养护管理专项经费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4.绩效评价范围</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1.时间范围：2023年1月1日至2023年12月31日。</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项目范围：会展周边道路绿地及景观带养护管理专项经费的基本情况：此项目位于乌鲁木齐市会展中心周边，绿地面积约56万平方米，实际由市级财政投入资金267.85万元，经过多年的绿化建设和养护，景观已颇有成效。此项目评价工作的开展做到年初有项目目标申报，后根据财政文件进行了三次资金调整，年中做到绩效跟踪，年底有绩效自评、项目实现的产出情况：按照《城市道路绿地一级养护管理标准》《水上乐园养护管理制度》及《乌鲁木齐市水上乐园绿地养护考核标准》进行绿地管理，取得的效益情况：为广大市民营造绿色生态良好环境，美化城市提升首府形象。主要经验及做法：大量的人流和车流可能会对绿植造成更大的压力，导致土壤压实、植被受损等。根据会展周边道路绿化的时间和规模，制定具体的绿化养护计划，做好定期评估，根据实际情况及时调整策略。定期修剪绿植可以保持良好的形态，促进植物健康生长，同时确保道路的视野不受阻挡。存在的问题及原因分析：绩效评价是一项系统性工作，需要具体负责项目绩效评价的项目管理科室推进工作。在项目论证初期，通过全面的调研和分析，明确项目目标和绩效指标，待资金下达，项目管理科室应当在整个项目周期内负责绩效评价的具体推进,包括建立有效的绩效评价体系，收集和分析关键数据，监测项目进展，并及时进行调整以确保项目目标的实现。项目建议: 事前评估的必要性至关重要，项目申报前就先进行目标绩效申报，根据项目的特性确立绩效目标，从而在执行整个项目的过程中，紧紧围绕目标值来进行，对项目实施、跟踪、监督、评价的引导作用。我单位将在以后年度的财政项目绩效目标申报工作中结合项目实施内容及特点，设置更为准确的绩效目标，最大限度提高财政资源配置效率和资金使用效益。综合性结论：项目推进情况良好。</w:t>
      </w:r>
      <w:r>
        <w:rPr>
          <w:rStyle w:val="18"/>
          <w:rFonts w:hint="default" w:ascii="Times New Roman" w:hAnsi="Times New Roman" w:eastAsia="方正仿宋_GBK" w:cs="Times New Roman"/>
          <w:b w:val="0"/>
          <w:bCs w:val="0"/>
          <w:spacing w:val="-4"/>
          <w:sz w:val="32"/>
          <w:szCs w:val="32"/>
        </w:rPr>
        <w:cr/>
      </w:r>
    </w:p>
    <w:p>
      <w:pPr>
        <w:spacing w:line="540" w:lineRule="exact"/>
        <w:ind w:firstLine="567"/>
        <w:rPr>
          <w:rStyle w:val="18"/>
          <w:rFonts w:hint="default" w:ascii="Times New Roman" w:hAnsi="Times New Roman" w:eastAsia="方正仿宋_GBK" w:cs="Times New Roman"/>
          <w:spacing w:val="-4"/>
          <w:sz w:val="32"/>
          <w:szCs w:val="32"/>
        </w:rPr>
      </w:pPr>
      <w:r>
        <w:rPr>
          <w:rStyle w:val="18"/>
          <w:rFonts w:hint="default" w:ascii="Times New Roman" w:hAnsi="Times New Roman" w:eastAsia="方正仿宋_GBK" w:cs="Times New Roman"/>
          <w:spacing w:val="-4"/>
          <w:sz w:val="32"/>
          <w:szCs w:val="32"/>
        </w:rPr>
        <w:t>（二）绩效评价原则、评价指标体系、评价方法、评价标准</w:t>
      </w:r>
    </w:p>
    <w:p>
      <w:pPr>
        <w:spacing w:line="540" w:lineRule="exact"/>
        <w:ind w:firstLine="567"/>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1.评价原则</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（一）科学公正。绩效评价应当运用科学合理的方法，按照规范的程序，对项目绩效进行客观、公正的反映。</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（四）公开透明。绩效评价结果应依法依规公开，并自觉接受社会监督。</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2.评价指标体系</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绩效评价指标体系作为衡量绩效目标实现程度的考核工具，一般遵循以下原则：</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（1）相关性原则：绩效评价指标应当与绩效目标有直接的联系，能够恰当反映目标的实现程度。</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（2）重要性原则：应当优先使用最具评价对象代表性、最能反映评价要求的核心指标。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（3）可比性原则：对同类评价对象要设定共性的绩效评价指标，以便于评价结果可以相互比较。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（5）经济性原则：绩效评价指标设计应当通俗易懂、简便易行，数据的获得应当考虑现实条件和可操作性，符合成本效益原则。</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本项目的评价指标体系建立如下表所示。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  项目支出绩效评价指标体系</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一级指标</w:t>
      </w:r>
      <w:r>
        <w:rPr>
          <w:rStyle w:val="18"/>
          <w:rFonts w:hint="default" w:ascii="Times New Roman" w:hAnsi="Times New Roman" w:eastAsia="方正仿宋_GBK" w:cs="Times New Roman"/>
          <w:b w:val="0"/>
          <w:bCs w:val="0"/>
          <w:spacing w:val="-4"/>
          <w:sz w:val="32"/>
          <w:szCs w:val="32"/>
        </w:rPr>
        <w:tab/>
        <w:t>二级指标</w:t>
      </w:r>
      <w:r>
        <w:rPr>
          <w:rStyle w:val="18"/>
          <w:rFonts w:hint="default" w:ascii="Times New Roman" w:hAnsi="Times New Roman" w:eastAsia="方正仿宋_GBK" w:cs="Times New Roman"/>
          <w:b w:val="0"/>
          <w:bCs w:val="0"/>
          <w:spacing w:val="-4"/>
          <w:sz w:val="32"/>
          <w:szCs w:val="32"/>
        </w:rPr>
        <w:tab/>
        <w:t>三级指标</w:t>
      </w:r>
      <w:r>
        <w:rPr>
          <w:rStyle w:val="18"/>
          <w:rFonts w:hint="default" w:ascii="Times New Roman" w:hAnsi="Times New Roman" w:eastAsia="方正仿宋_GBK" w:cs="Times New Roman"/>
          <w:b w:val="0"/>
          <w:bCs w:val="0"/>
          <w:spacing w:val="-4"/>
          <w:sz w:val="32"/>
          <w:szCs w:val="32"/>
        </w:rPr>
        <w:tab/>
        <w:t>指标解释</w:t>
      </w:r>
      <w:r>
        <w:rPr>
          <w:rStyle w:val="18"/>
          <w:rFonts w:hint="default" w:ascii="Times New Roman" w:hAnsi="Times New Roman" w:eastAsia="方正仿宋_GBK" w:cs="Times New Roman"/>
          <w:b w:val="0"/>
          <w:bCs w:val="0"/>
          <w:spacing w:val="-4"/>
          <w:sz w:val="32"/>
          <w:szCs w:val="32"/>
        </w:rPr>
        <w:tab/>
        <w:t>指标说明</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决策</w:t>
      </w:r>
      <w:r>
        <w:rPr>
          <w:rStyle w:val="18"/>
          <w:rFonts w:hint="default" w:ascii="Times New Roman" w:hAnsi="Times New Roman" w:eastAsia="方正仿宋_GBK" w:cs="Times New Roman"/>
          <w:b w:val="0"/>
          <w:bCs w:val="0"/>
          <w:spacing w:val="-4"/>
          <w:sz w:val="32"/>
          <w:szCs w:val="32"/>
        </w:rPr>
        <w:tab/>
        <w:t>项目立项</w:t>
      </w:r>
      <w:r>
        <w:rPr>
          <w:rStyle w:val="18"/>
          <w:rFonts w:hint="default" w:ascii="Times New Roman" w:hAnsi="Times New Roman" w:eastAsia="方正仿宋_GBK" w:cs="Times New Roman"/>
          <w:b w:val="0"/>
          <w:bCs w:val="0"/>
          <w:spacing w:val="-4"/>
          <w:sz w:val="32"/>
          <w:szCs w:val="32"/>
        </w:rPr>
        <w:tab/>
        <w:t>立项依据</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充分性</w:t>
      </w:r>
      <w:r>
        <w:rPr>
          <w:rStyle w:val="18"/>
          <w:rFonts w:hint="default" w:ascii="Times New Roman" w:hAnsi="Times New Roman" w:eastAsia="方正仿宋_GBK" w:cs="Times New Roman"/>
          <w:b w:val="0"/>
          <w:bCs w:val="0"/>
          <w:spacing w:val="-4"/>
          <w:sz w:val="32"/>
          <w:szCs w:val="32"/>
        </w:rPr>
        <w:tab/>
        <w:t>项目立项是否符合法律法规、相关政策、发展规划以及部门职责，用以反映和考核项目立项依据情况。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①项目立项是否符合国家法律法规、国民经济发展规划和相关政策；</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②项目立项是否符合行业发展规划和政策要求；</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③项目立项是否与部门职责范围相符，属于部门履职所需；</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④项目是否属于公共财政支持范围，是否符合中央、地方事权支出责任划分原则；</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⑤项目是否与相关部门同类项目或部门内部相关项目重复。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立项程序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规范性</w:t>
      </w:r>
      <w:r>
        <w:rPr>
          <w:rStyle w:val="18"/>
          <w:rFonts w:hint="default" w:ascii="Times New Roman" w:hAnsi="Times New Roman" w:eastAsia="方正仿宋_GBK" w:cs="Times New Roman"/>
          <w:b w:val="0"/>
          <w:bCs w:val="0"/>
          <w:spacing w:val="-4"/>
          <w:sz w:val="32"/>
          <w:szCs w:val="32"/>
        </w:rPr>
        <w:tab/>
        <w:t>项目申请、设立过程是否符合相关要求，用以反映和考核项目立项的规范情况。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①项目是否按照规定的程序申请设立；</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②审批文件、材料是否符合相关要求；</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③事前是否已经过必要的可行性研究、专家论证、风险评估、绩效评估、集体决策。</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绩效目标</w:t>
      </w:r>
      <w:r>
        <w:rPr>
          <w:rStyle w:val="18"/>
          <w:rFonts w:hint="default" w:ascii="Times New Roman" w:hAnsi="Times New Roman" w:eastAsia="方正仿宋_GBK" w:cs="Times New Roman"/>
          <w:b w:val="0"/>
          <w:bCs w:val="0"/>
          <w:spacing w:val="-4"/>
          <w:sz w:val="32"/>
          <w:szCs w:val="32"/>
        </w:rPr>
        <w:tab/>
        <w:t>绩效目标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合理性</w:t>
      </w:r>
      <w:r>
        <w:rPr>
          <w:rStyle w:val="18"/>
          <w:rFonts w:hint="default" w:ascii="Times New Roman" w:hAnsi="Times New Roman" w:eastAsia="方正仿宋_GBK" w:cs="Times New Roman"/>
          <w:b w:val="0"/>
          <w:bCs w:val="0"/>
          <w:spacing w:val="-4"/>
          <w:sz w:val="32"/>
          <w:szCs w:val="32"/>
        </w:rPr>
        <w:tab/>
        <w:t>项目所设定的绩效目标是否依据充分，是否符合客观实际，用以反映和考核项目绩效目标与项目实施的相符情况。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（如未设定预算绩效目标，也可考核其他工作任务目标）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①项目是否有绩效目标；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②项目绩效目标与实际工作内容是否具有相关性；</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③项目预期产出效益和效果是否符合正常的业绩水平；</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④是否与预算确定的项目投资额或资金量相匹配。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决策绩效目标绩效指标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明确性</w:t>
      </w:r>
      <w:r>
        <w:rPr>
          <w:rStyle w:val="18"/>
          <w:rFonts w:hint="default" w:ascii="Times New Roman" w:hAnsi="Times New Roman" w:eastAsia="方正仿宋_GBK" w:cs="Times New Roman"/>
          <w:b w:val="0"/>
          <w:bCs w:val="0"/>
          <w:spacing w:val="-4"/>
          <w:sz w:val="32"/>
          <w:szCs w:val="32"/>
        </w:rPr>
        <w:tab/>
        <w:t>依据绩效目标设定的绩效指标是否清晰、细化、可衡量等，用以反映和考核项目绩效目标的明细化情况。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①是否将项目绩效目标细化分解为具体的绩效指标；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②是否通过清晰、可衡量的指标值予以体现；</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③是否与项目目标任务数或计划数相对应。</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资金投入</w:t>
      </w:r>
      <w:r>
        <w:rPr>
          <w:rStyle w:val="18"/>
          <w:rFonts w:hint="default" w:ascii="Times New Roman" w:hAnsi="Times New Roman" w:eastAsia="方正仿宋_GBK" w:cs="Times New Roman"/>
          <w:b w:val="0"/>
          <w:bCs w:val="0"/>
          <w:spacing w:val="-4"/>
          <w:sz w:val="32"/>
          <w:szCs w:val="32"/>
        </w:rPr>
        <w:tab/>
        <w:t>预算编制</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科学性</w:t>
      </w:r>
      <w:r>
        <w:rPr>
          <w:rStyle w:val="18"/>
          <w:rFonts w:hint="default" w:ascii="Times New Roman" w:hAnsi="Times New Roman" w:eastAsia="方正仿宋_GBK" w:cs="Times New Roman"/>
          <w:b w:val="0"/>
          <w:bCs w:val="0"/>
          <w:spacing w:val="-4"/>
          <w:sz w:val="32"/>
          <w:szCs w:val="32"/>
        </w:rPr>
        <w:tab/>
        <w:t>项目预算编制是否经过科学论证、有明确标准，资金额度与年度目标是否相适应，用以反映和考核项目预算编制的科学性、合理性情况。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①预算编制是否经过科学论证；</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②预算内容与项目内容是否匹配；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③预算额度测算依据是否充分，是否按照标准编制；</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④预算确定的项目投资额或资金量是否与工作任务相匹配。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资金分配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合理性</w:t>
      </w:r>
      <w:r>
        <w:rPr>
          <w:rStyle w:val="18"/>
          <w:rFonts w:hint="default" w:ascii="Times New Roman" w:hAnsi="Times New Roman" w:eastAsia="方正仿宋_GBK" w:cs="Times New Roman"/>
          <w:b w:val="0"/>
          <w:bCs w:val="0"/>
          <w:spacing w:val="-4"/>
          <w:sz w:val="32"/>
          <w:szCs w:val="32"/>
        </w:rPr>
        <w:tab/>
        <w:t>项目预算资金分配是否有测算依据，与补助单位或地方实际是否相适应，用以反映和考核项目预算资金分配的科学性、合理性情况。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①预算资金分配依据是否充分；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②资金分配额度是否合理，与项目单位或地方实际是否相适应。</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过程</w:t>
      </w:r>
      <w:r>
        <w:rPr>
          <w:rStyle w:val="18"/>
          <w:rFonts w:hint="default" w:ascii="Times New Roman" w:hAnsi="Times New Roman" w:eastAsia="方正仿宋_GBK" w:cs="Times New Roman"/>
          <w:b w:val="0"/>
          <w:bCs w:val="0"/>
          <w:spacing w:val="-4"/>
          <w:sz w:val="32"/>
          <w:szCs w:val="32"/>
        </w:rPr>
        <w:tab/>
        <w:t>资金管理</w:t>
      </w:r>
      <w:r>
        <w:rPr>
          <w:rStyle w:val="18"/>
          <w:rFonts w:hint="default" w:ascii="Times New Roman" w:hAnsi="Times New Roman" w:eastAsia="方正仿宋_GBK" w:cs="Times New Roman"/>
          <w:b w:val="0"/>
          <w:bCs w:val="0"/>
          <w:spacing w:val="-4"/>
          <w:sz w:val="32"/>
          <w:szCs w:val="32"/>
        </w:rPr>
        <w:tab/>
        <w:t>资金到位率</w:t>
      </w:r>
      <w:r>
        <w:rPr>
          <w:rStyle w:val="18"/>
          <w:rFonts w:hint="default" w:ascii="Times New Roman" w:hAnsi="Times New Roman" w:eastAsia="方正仿宋_GBK" w:cs="Times New Roman"/>
          <w:b w:val="0"/>
          <w:bCs w:val="0"/>
          <w:spacing w:val="-4"/>
          <w:sz w:val="32"/>
          <w:szCs w:val="32"/>
        </w:rPr>
        <w:tab/>
        <w:t>实际到位资金与预算资金的比率，用以反映和考核资金落实情况对项目实施的总体保障程度。</w:t>
      </w:r>
      <w:r>
        <w:rPr>
          <w:rStyle w:val="18"/>
          <w:rFonts w:hint="default" w:ascii="Times New Roman" w:hAnsi="Times New Roman" w:eastAsia="方正仿宋_GBK" w:cs="Times New Roman"/>
          <w:b w:val="0"/>
          <w:bCs w:val="0"/>
          <w:spacing w:val="-4"/>
          <w:sz w:val="32"/>
          <w:szCs w:val="32"/>
        </w:rPr>
        <w:tab/>
        <w:t>资金到位率=（实际到位资金/预算资金）×100%。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实际到位资金：一定时期（本年度或项目期）内落实到具体项目的资金。</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预算资金：一定时期（本年度或项目期）内预算安排到具体项目的资金。</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预算执行率</w:t>
      </w:r>
      <w:r>
        <w:rPr>
          <w:rStyle w:val="18"/>
          <w:rFonts w:hint="default" w:ascii="Times New Roman" w:hAnsi="Times New Roman" w:eastAsia="方正仿宋_GBK" w:cs="Times New Roman"/>
          <w:b w:val="0"/>
          <w:bCs w:val="0"/>
          <w:spacing w:val="-4"/>
          <w:sz w:val="32"/>
          <w:szCs w:val="32"/>
        </w:rPr>
        <w:tab/>
        <w:t>项目预算资金是否按照计划执行，用以反映或考核项目预算执行情况。</w:t>
      </w:r>
      <w:r>
        <w:rPr>
          <w:rStyle w:val="18"/>
          <w:rFonts w:hint="default" w:ascii="Times New Roman" w:hAnsi="Times New Roman" w:eastAsia="方正仿宋_GBK" w:cs="Times New Roman"/>
          <w:b w:val="0"/>
          <w:bCs w:val="0"/>
          <w:spacing w:val="-4"/>
          <w:sz w:val="32"/>
          <w:szCs w:val="32"/>
        </w:rPr>
        <w:tab/>
        <w:t>预算执行率=（实际支出资金/实际到位资金）×100%。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实际支出资金：一定时期（本年度或项目期）内项目实际拨付的资金。</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过程</w:t>
      </w:r>
      <w:r>
        <w:rPr>
          <w:rStyle w:val="18"/>
          <w:rFonts w:hint="default" w:ascii="Times New Roman" w:hAnsi="Times New Roman" w:eastAsia="方正仿宋_GBK" w:cs="Times New Roman"/>
          <w:b w:val="0"/>
          <w:bCs w:val="0"/>
          <w:spacing w:val="-4"/>
          <w:sz w:val="32"/>
          <w:szCs w:val="32"/>
        </w:rPr>
        <w:tab/>
        <w:t>资金管理</w:t>
      </w:r>
      <w:r>
        <w:rPr>
          <w:rStyle w:val="18"/>
          <w:rFonts w:hint="default" w:ascii="Times New Roman" w:hAnsi="Times New Roman" w:eastAsia="方正仿宋_GBK" w:cs="Times New Roman"/>
          <w:b w:val="0"/>
          <w:bCs w:val="0"/>
          <w:spacing w:val="-4"/>
          <w:sz w:val="32"/>
          <w:szCs w:val="32"/>
        </w:rPr>
        <w:tab/>
        <w:t>资金使用</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合规性</w:t>
      </w:r>
      <w:r>
        <w:rPr>
          <w:rStyle w:val="18"/>
          <w:rFonts w:hint="default" w:ascii="Times New Roman" w:hAnsi="Times New Roman" w:eastAsia="方正仿宋_GBK" w:cs="Times New Roman"/>
          <w:b w:val="0"/>
          <w:bCs w:val="0"/>
          <w:spacing w:val="-4"/>
          <w:sz w:val="32"/>
          <w:szCs w:val="32"/>
        </w:rPr>
        <w:tab/>
        <w:t>项目资金使用是否符合相关的财务管理制度规定，用以反映和考核项目资金的规范运行情况。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①是否符合国家财经法规和财务管理制度以及有关专项资金管理办法的规定；</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②资金的拨付是否有完整的审批程序和手续；</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③是否符合项目预算批复或合同规定的用途；</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④是否存在截留、挤占、挪用、虚列支出等情况。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组织实施</w:t>
      </w:r>
      <w:r>
        <w:rPr>
          <w:rStyle w:val="18"/>
          <w:rFonts w:hint="default" w:ascii="Times New Roman" w:hAnsi="Times New Roman" w:eastAsia="方正仿宋_GBK" w:cs="Times New Roman"/>
          <w:b w:val="0"/>
          <w:bCs w:val="0"/>
          <w:spacing w:val="-4"/>
          <w:sz w:val="32"/>
          <w:szCs w:val="32"/>
        </w:rPr>
        <w:tab/>
        <w:t>管理制度</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健全性</w:t>
      </w:r>
      <w:r>
        <w:rPr>
          <w:rStyle w:val="18"/>
          <w:rFonts w:hint="default" w:ascii="Times New Roman" w:hAnsi="Times New Roman" w:eastAsia="方正仿宋_GBK" w:cs="Times New Roman"/>
          <w:b w:val="0"/>
          <w:bCs w:val="0"/>
          <w:spacing w:val="-4"/>
          <w:sz w:val="32"/>
          <w:szCs w:val="32"/>
        </w:rPr>
        <w:tab/>
        <w:t>项目实施单位的财务和业务管理制度是否健全，用以反映和考核财务和业务管理制度对项目顺利实施的保障情况。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①是否已制定或具有相应的财务和业务管理制度；</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②财务和业务管理制度是否合法、合规、完整。</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制度执行</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有效性</w:t>
      </w:r>
      <w:r>
        <w:rPr>
          <w:rStyle w:val="18"/>
          <w:rFonts w:hint="default" w:ascii="Times New Roman" w:hAnsi="Times New Roman" w:eastAsia="方正仿宋_GBK" w:cs="Times New Roman"/>
          <w:b w:val="0"/>
          <w:bCs w:val="0"/>
          <w:spacing w:val="-4"/>
          <w:sz w:val="32"/>
          <w:szCs w:val="32"/>
        </w:rPr>
        <w:tab/>
        <w:t>项目实施是否符合相关管理规定，用以反映和考核相关管理制度的有效执行情况。</w:t>
      </w:r>
      <w:r>
        <w:rPr>
          <w:rStyle w:val="18"/>
          <w:rFonts w:hint="default" w:ascii="Times New Roman" w:hAnsi="Times New Roman" w:eastAsia="方正仿宋_GBK" w:cs="Times New Roman"/>
          <w:b w:val="0"/>
          <w:bCs w:val="0"/>
          <w:spacing w:val="-4"/>
          <w:sz w:val="32"/>
          <w:szCs w:val="32"/>
        </w:rPr>
        <w:tab/>
        <w:t>评价要点：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①是否遵守相关法律法规和相关管理规定；</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②项目调整及支出调整手续是否完备；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③项目合同书、验收报告、技术鉴定等资料是否齐全并及时归档；</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④项目实施的人员条件、场地设备、信息支撑等是否落实到位。</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产出</w:t>
      </w:r>
      <w:r>
        <w:rPr>
          <w:rStyle w:val="18"/>
          <w:rFonts w:hint="default" w:ascii="Times New Roman" w:hAnsi="Times New Roman" w:eastAsia="方正仿宋_GBK" w:cs="Times New Roman"/>
          <w:b w:val="0"/>
          <w:bCs w:val="0"/>
          <w:spacing w:val="-4"/>
          <w:sz w:val="32"/>
          <w:szCs w:val="32"/>
        </w:rPr>
        <w:tab/>
        <w:t>产出数量</w:t>
      </w:r>
      <w:r>
        <w:rPr>
          <w:rStyle w:val="18"/>
          <w:rFonts w:hint="default" w:ascii="Times New Roman" w:hAnsi="Times New Roman" w:eastAsia="方正仿宋_GBK" w:cs="Times New Roman"/>
          <w:b w:val="0"/>
          <w:bCs w:val="0"/>
          <w:spacing w:val="-4"/>
          <w:sz w:val="32"/>
          <w:szCs w:val="32"/>
        </w:rPr>
        <w:tab/>
        <w:t>养护用工人数</w:t>
      </w:r>
      <w:r>
        <w:rPr>
          <w:rStyle w:val="18"/>
          <w:rFonts w:hint="default" w:ascii="Times New Roman" w:hAnsi="Times New Roman" w:eastAsia="方正仿宋_GBK" w:cs="Times New Roman"/>
          <w:b w:val="0"/>
          <w:bCs w:val="0"/>
          <w:spacing w:val="-4"/>
          <w:sz w:val="32"/>
          <w:szCs w:val="32"/>
        </w:rPr>
        <w:tab/>
        <w:t>项目实施的实际产出数与计划产出数的比率，用以反映和考核项目产出数量目标的实现程度。</w:t>
      </w:r>
      <w:r>
        <w:rPr>
          <w:rStyle w:val="18"/>
          <w:rFonts w:hint="default" w:ascii="Times New Roman" w:hAnsi="Times New Roman" w:eastAsia="方正仿宋_GBK" w:cs="Times New Roman"/>
          <w:b w:val="0"/>
          <w:bCs w:val="0"/>
          <w:spacing w:val="-4"/>
          <w:sz w:val="32"/>
          <w:szCs w:val="32"/>
        </w:rPr>
        <w:tab/>
        <w:t>实际完成率=（实际产出数/计划产出数）×100%。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实际产出数：一定时期（本年度或项目期）内项目实际产出的产品或提供的服务数量。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计划产出数：项目绩效目标确定的在一定时期（本年度或项目期）内计划产出的产品或提供的服务数量。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产出</w:t>
      </w:r>
      <w:r>
        <w:rPr>
          <w:rStyle w:val="18"/>
          <w:rFonts w:hint="default" w:ascii="Times New Roman" w:hAnsi="Times New Roman" w:eastAsia="方正仿宋_GBK" w:cs="Times New Roman"/>
          <w:b w:val="0"/>
          <w:bCs w:val="0"/>
          <w:spacing w:val="-4"/>
          <w:sz w:val="32"/>
          <w:szCs w:val="32"/>
        </w:rPr>
        <w:tab/>
        <w:t>产出质量</w:t>
      </w:r>
      <w:r>
        <w:rPr>
          <w:rStyle w:val="18"/>
          <w:rFonts w:hint="default" w:ascii="Times New Roman" w:hAnsi="Times New Roman" w:eastAsia="方正仿宋_GBK" w:cs="Times New Roman"/>
          <w:b w:val="0"/>
          <w:bCs w:val="0"/>
          <w:spacing w:val="-4"/>
          <w:sz w:val="32"/>
          <w:szCs w:val="32"/>
        </w:rPr>
        <w:tab/>
        <w:t>地被植物覆盖率</w:t>
      </w:r>
      <w:r>
        <w:rPr>
          <w:rStyle w:val="18"/>
          <w:rFonts w:hint="default" w:ascii="Times New Roman" w:hAnsi="Times New Roman" w:eastAsia="方正仿宋_GBK" w:cs="Times New Roman"/>
          <w:b w:val="0"/>
          <w:bCs w:val="0"/>
          <w:spacing w:val="-4"/>
          <w:sz w:val="32"/>
          <w:szCs w:val="32"/>
        </w:rPr>
        <w:tab/>
        <w:t>项目完成的质量达标产出数与实际产出数的比率，用以反映和考核项目产出质量目标的实现程度。</w:t>
      </w:r>
      <w:r>
        <w:rPr>
          <w:rStyle w:val="18"/>
          <w:rFonts w:hint="default" w:ascii="Times New Roman" w:hAnsi="Times New Roman" w:eastAsia="方正仿宋_GBK" w:cs="Times New Roman"/>
          <w:b w:val="0"/>
          <w:bCs w:val="0"/>
          <w:spacing w:val="-4"/>
          <w:sz w:val="32"/>
          <w:szCs w:val="32"/>
        </w:rPr>
        <w:tab/>
        <w:t>地被植物覆盖率=一定时期绿化带是否出现草坪斑秃，宿根花卉缺株，绿篱缺株及草本花卉缺株</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乔木成活率：一定时期内各类乔木抽查的死亡数量。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病虫害危害率：一定时期内各类植物发生病虫害的防控检查记录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乔木成活率</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病虫害危害率</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产出成本</w:t>
      </w:r>
      <w:r>
        <w:rPr>
          <w:rStyle w:val="18"/>
          <w:rFonts w:hint="default" w:ascii="Times New Roman" w:hAnsi="Times New Roman" w:eastAsia="方正仿宋_GBK" w:cs="Times New Roman"/>
          <w:b w:val="0"/>
          <w:bCs w:val="0"/>
          <w:spacing w:val="-4"/>
          <w:sz w:val="32"/>
          <w:szCs w:val="32"/>
        </w:rPr>
        <w:tab/>
        <w:t>平均用工成本</w:t>
      </w:r>
      <w:r>
        <w:rPr>
          <w:rStyle w:val="18"/>
          <w:rFonts w:hint="default" w:ascii="Times New Roman" w:hAnsi="Times New Roman" w:eastAsia="方正仿宋_GBK" w:cs="Times New Roman"/>
          <w:b w:val="0"/>
          <w:bCs w:val="0"/>
          <w:spacing w:val="-4"/>
          <w:sz w:val="32"/>
          <w:szCs w:val="32"/>
        </w:rPr>
        <w:tab/>
        <w:t>完成项目计划工作目标的实际节约成本与计划成本的比率，用以反映和考核项目的成本节约程度。</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成本节约率=[（计划成本-实际成本）/计划成本]×100%。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实际成本：项目实施单位如期、保质、保量完成既定工作目标实际所耗费的支出。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计划成本：项目实施单位为完成工作目标计划安排的支出，一般以项目预算为参考。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效益</w:t>
      </w:r>
      <w:r>
        <w:rPr>
          <w:rStyle w:val="18"/>
          <w:rFonts w:hint="default" w:ascii="Times New Roman" w:hAnsi="Times New Roman" w:eastAsia="方正仿宋_GBK" w:cs="Times New Roman"/>
          <w:b w:val="0"/>
          <w:bCs w:val="0"/>
          <w:spacing w:val="-4"/>
          <w:sz w:val="32"/>
          <w:szCs w:val="32"/>
        </w:rPr>
        <w:tab/>
        <w:t>社会效益指标</w:t>
      </w:r>
      <w:r>
        <w:rPr>
          <w:rStyle w:val="18"/>
          <w:rFonts w:hint="default" w:ascii="Times New Roman" w:hAnsi="Times New Roman" w:eastAsia="方正仿宋_GBK" w:cs="Times New Roman"/>
          <w:b w:val="0"/>
          <w:bCs w:val="0"/>
          <w:spacing w:val="-4"/>
          <w:sz w:val="32"/>
          <w:szCs w:val="32"/>
        </w:rPr>
        <w:tab/>
        <w:t>对城市绿化美化的作用</w:t>
      </w:r>
      <w:r>
        <w:rPr>
          <w:rStyle w:val="18"/>
          <w:rFonts w:hint="default" w:ascii="Times New Roman" w:hAnsi="Times New Roman" w:eastAsia="方正仿宋_GBK" w:cs="Times New Roman"/>
          <w:b w:val="0"/>
          <w:bCs w:val="0"/>
          <w:spacing w:val="-4"/>
          <w:sz w:val="32"/>
          <w:szCs w:val="32"/>
        </w:rPr>
        <w:tab/>
        <w:t>项目实施所产生的效益。</w:t>
      </w:r>
      <w:r>
        <w:rPr>
          <w:rStyle w:val="18"/>
          <w:rFonts w:hint="default" w:ascii="Times New Roman" w:hAnsi="Times New Roman" w:eastAsia="方正仿宋_GBK" w:cs="Times New Roman"/>
          <w:b w:val="0"/>
          <w:bCs w:val="0"/>
          <w:spacing w:val="-4"/>
          <w:sz w:val="32"/>
          <w:szCs w:val="32"/>
        </w:rPr>
        <w:tab/>
        <w:t>项目实施所产生的社会效益、经济效益、生态效益、可持续影响等。可根据项目实际情况有选择地设置和细化。</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生态效益指标</w:t>
      </w:r>
      <w:r>
        <w:rPr>
          <w:rStyle w:val="18"/>
          <w:rFonts w:hint="default" w:ascii="Times New Roman" w:hAnsi="Times New Roman" w:eastAsia="方正仿宋_GBK" w:cs="Times New Roman"/>
          <w:b w:val="0"/>
          <w:bCs w:val="0"/>
          <w:spacing w:val="-4"/>
          <w:sz w:val="32"/>
          <w:szCs w:val="32"/>
        </w:rPr>
        <w:tab/>
        <w:t>绿地环境整洁率</w:t>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社会公众或服务对象是指因该项目实施而受到影响的部门（单位）、群体或个人。一般采取社会调查的方式。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满意度指标完成情况分析</w:t>
      </w:r>
      <w:r>
        <w:rPr>
          <w:rStyle w:val="18"/>
          <w:rFonts w:hint="default" w:ascii="Times New Roman" w:hAnsi="Times New Roman" w:eastAsia="方正仿宋_GBK" w:cs="Times New Roman"/>
          <w:b w:val="0"/>
          <w:bCs w:val="0"/>
          <w:spacing w:val="-4"/>
          <w:sz w:val="32"/>
          <w:szCs w:val="32"/>
        </w:rPr>
        <w:tab/>
        <w:t>满意度指标</w:t>
      </w:r>
      <w:r>
        <w:rPr>
          <w:rStyle w:val="18"/>
          <w:rFonts w:hint="default" w:ascii="Times New Roman" w:hAnsi="Times New Roman" w:eastAsia="方正仿宋_GBK" w:cs="Times New Roman"/>
          <w:b w:val="0"/>
          <w:bCs w:val="0"/>
          <w:spacing w:val="-4"/>
          <w:sz w:val="32"/>
          <w:szCs w:val="32"/>
        </w:rPr>
        <w:tab/>
        <w:t>市民满意度</w:t>
      </w:r>
      <w:r>
        <w:rPr>
          <w:rStyle w:val="18"/>
          <w:rFonts w:hint="default" w:ascii="Times New Roman" w:hAnsi="Times New Roman" w:eastAsia="方正仿宋_GBK" w:cs="Times New Roman"/>
          <w:b w:val="0"/>
          <w:bCs w:val="0"/>
          <w:spacing w:val="-4"/>
          <w:sz w:val="32"/>
          <w:szCs w:val="32"/>
        </w:rPr>
        <w:tab/>
        <w:t>社会公众或服务对象对项目实施效果的满意程度。</w:t>
      </w:r>
      <w:r>
        <w:rPr>
          <w:rStyle w:val="18"/>
          <w:rFonts w:hint="default" w:ascii="Times New Roman" w:hAnsi="Times New Roman" w:eastAsia="方正仿宋_GBK" w:cs="Times New Roman"/>
          <w:b w:val="0"/>
          <w:bCs w:val="0"/>
          <w:spacing w:val="-4"/>
          <w:sz w:val="32"/>
          <w:szCs w:val="32"/>
        </w:rPr>
        <w:tab/>
        <w:t>社会公众或服务对象是指因该项目实施而受到影响的部门（单位）、群体或个人。一般采取社会调查的方式。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3.评价方法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（1）成本效益分析法。是指将投入与产出、效益进行关联性分析的方法。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（2）比较法。是指将实施情况与绩效目标、历史情况、不同部门和地区同类支出情况进行比较的方法。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（3）因素分析法。是指综合分析影响绩效目标实现、实施效果的内外部因素的方法。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（4）最低成本法。是指在绩效目标确定的前提下，成本最小者为优的方法。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（5）公众评判法。是指通过专家评估、公众问卷及抽样调查等方式进行评判的方法。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（6）标杆管理法。是指以国内外同行业中较高的绩效水平为标杆进行评判的方法。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（7）其他评价方法。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根据本项目会展周边道路绿地及景观带养护管理专项经费的特点，本次评价主要采用比较法及公众评判法的方式，对项目总预算和明细预算的内容、标准、计划是否经济合理进行深入分析，以考察实际产出和效益是否达到预期。</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4.评价标准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绩效评价标准主要包括计划标准、行业标准、历史标准等，用于对绩效指标完成情况进行比较。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（1）计划标准。指以预先制定的目标、计划、预算、定额等作为评价标准。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（2）行业标准。指参照国家公布的行业指标数据制定的评价标准。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（3）历史标准。指参照历史数据制定的评价标准，为体现绩效改进的原则，在可实现的条件下应当确定相对较高的评价标准。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在上述评价标准的基础上，本次评价依据以下文件为重要指导和准绳：</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《中共中央国务院关于全面实施预算绩效管理的意见》（中发〔2018〕34号）</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《关于印发&lt;乌鲁木齐市本级部门预算绩效目标管理暂行办法&gt;的通知》（乌财预〔2018〕56号）</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《关于做好2019年部门预算项目支出绩效目标管理有关事宜的通知》（乌财预〔2018〕76号）</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《项目支出绩效评价管理办法（财预〔2020〕10号）</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《乌鲁木齐市水上乐园绿地养护考核标准》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《水上乐园园林绿化养护制度》</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《乌鲁木齐市水上乐园专项资金管理使用制度》</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《乌鲁木齐市水上乐园资金监督检查工作方案》</w:t>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spacing w:val="-4"/>
          <w:sz w:val="32"/>
          <w:szCs w:val="32"/>
        </w:rPr>
        <w:t>（三）绩效评价工作过程</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pPr>
        <w:spacing w:line="540" w:lineRule="exact"/>
        <w:ind w:firstLine="640"/>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spacing w:val="-4"/>
          <w:sz w:val="32"/>
          <w:szCs w:val="32"/>
        </w:rPr>
        <w:t>三、综合评价情况及评价结论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（一）评价结论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结合项目特点，制定符合项目实际的绩效评价指标体系及评分标准，通过比较法及公众评判法等形式，对2022年会展周边道路绿地及景观带养护管理专项经费进行客观评价，最终评分结果为：总分为100分，绩效评级为“优”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项目各部分权重和绩效分值如附表所示：</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项目各部分权重和绩效分值</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一级指标</w:t>
      </w:r>
      <w:r>
        <w:rPr>
          <w:rStyle w:val="18"/>
          <w:rFonts w:hint="default" w:ascii="Times New Roman" w:hAnsi="Times New Roman" w:eastAsia="方正仿宋_GBK" w:cs="Times New Roman"/>
          <w:b w:val="0"/>
          <w:bCs w:val="0"/>
          <w:spacing w:val="-4"/>
          <w:sz w:val="32"/>
          <w:szCs w:val="32"/>
        </w:rPr>
        <w:tab/>
        <w:t>二级指标</w:t>
      </w:r>
      <w:r>
        <w:rPr>
          <w:rStyle w:val="18"/>
          <w:rFonts w:hint="default" w:ascii="Times New Roman" w:hAnsi="Times New Roman" w:eastAsia="方正仿宋_GBK" w:cs="Times New Roman"/>
          <w:b w:val="0"/>
          <w:bCs w:val="0"/>
          <w:spacing w:val="-4"/>
          <w:sz w:val="32"/>
          <w:szCs w:val="32"/>
        </w:rPr>
        <w:tab/>
        <w:t>三级指标</w:t>
      </w:r>
      <w:r>
        <w:rPr>
          <w:rStyle w:val="18"/>
          <w:rFonts w:hint="default" w:ascii="Times New Roman" w:hAnsi="Times New Roman" w:eastAsia="方正仿宋_GBK" w:cs="Times New Roman"/>
          <w:b w:val="0"/>
          <w:bCs w:val="0"/>
          <w:spacing w:val="-4"/>
          <w:sz w:val="32"/>
          <w:szCs w:val="32"/>
        </w:rPr>
        <w:tab/>
        <w:t>分值</w:t>
      </w:r>
      <w:r>
        <w:rPr>
          <w:rStyle w:val="18"/>
          <w:rFonts w:hint="default" w:ascii="Times New Roman" w:hAnsi="Times New Roman" w:eastAsia="方正仿宋_GBK" w:cs="Times New Roman"/>
          <w:b w:val="0"/>
          <w:bCs w:val="0"/>
          <w:spacing w:val="-4"/>
          <w:sz w:val="32"/>
          <w:szCs w:val="32"/>
        </w:rPr>
        <w:tab/>
        <w:t>得分</w:t>
      </w:r>
      <w:r>
        <w:rPr>
          <w:rStyle w:val="18"/>
          <w:rFonts w:hint="default" w:ascii="Times New Roman" w:hAnsi="Times New Roman" w:eastAsia="方正仿宋_GBK" w:cs="Times New Roman"/>
          <w:b w:val="0"/>
          <w:bCs w:val="0"/>
          <w:spacing w:val="-4"/>
          <w:sz w:val="32"/>
          <w:szCs w:val="32"/>
        </w:rPr>
        <w:tab/>
        <w:t>得分率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决策</w:t>
      </w:r>
      <w:r>
        <w:rPr>
          <w:rStyle w:val="18"/>
          <w:rFonts w:hint="default" w:ascii="Times New Roman" w:hAnsi="Times New Roman" w:eastAsia="方正仿宋_GBK" w:cs="Times New Roman"/>
          <w:b w:val="0"/>
          <w:bCs w:val="0"/>
          <w:spacing w:val="-4"/>
          <w:sz w:val="32"/>
          <w:szCs w:val="32"/>
        </w:rPr>
        <w:tab/>
        <w:t>项目立项</w:t>
      </w:r>
      <w:r>
        <w:rPr>
          <w:rStyle w:val="18"/>
          <w:rFonts w:hint="default" w:ascii="Times New Roman" w:hAnsi="Times New Roman" w:eastAsia="方正仿宋_GBK" w:cs="Times New Roman"/>
          <w:b w:val="0"/>
          <w:bCs w:val="0"/>
          <w:spacing w:val="-4"/>
          <w:sz w:val="32"/>
          <w:szCs w:val="32"/>
        </w:rPr>
        <w:tab/>
        <w:t>立项依据充分性</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立项程序规范性</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绩效目标</w:t>
      </w:r>
      <w:r>
        <w:rPr>
          <w:rStyle w:val="18"/>
          <w:rFonts w:hint="default" w:ascii="Times New Roman" w:hAnsi="Times New Roman" w:eastAsia="方正仿宋_GBK" w:cs="Times New Roman"/>
          <w:b w:val="0"/>
          <w:bCs w:val="0"/>
          <w:spacing w:val="-4"/>
          <w:sz w:val="32"/>
          <w:szCs w:val="32"/>
        </w:rPr>
        <w:tab/>
        <w:t>绩效目标合理性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绩效指标明确性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资金投入</w:t>
      </w:r>
      <w:r>
        <w:rPr>
          <w:rStyle w:val="18"/>
          <w:rFonts w:hint="default" w:ascii="Times New Roman" w:hAnsi="Times New Roman" w:eastAsia="方正仿宋_GBK" w:cs="Times New Roman"/>
          <w:b w:val="0"/>
          <w:bCs w:val="0"/>
          <w:spacing w:val="-4"/>
          <w:sz w:val="32"/>
          <w:szCs w:val="32"/>
        </w:rPr>
        <w:tab/>
        <w:t>预算编制科学性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资金分配合理性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过程</w:t>
      </w:r>
      <w:r>
        <w:rPr>
          <w:rStyle w:val="18"/>
          <w:rFonts w:hint="default" w:ascii="Times New Roman" w:hAnsi="Times New Roman" w:eastAsia="方正仿宋_GBK" w:cs="Times New Roman"/>
          <w:b w:val="0"/>
          <w:bCs w:val="0"/>
          <w:spacing w:val="-4"/>
          <w:sz w:val="32"/>
          <w:szCs w:val="32"/>
        </w:rPr>
        <w:tab/>
        <w:t>资金管理</w:t>
      </w:r>
      <w:r>
        <w:rPr>
          <w:rStyle w:val="18"/>
          <w:rFonts w:hint="default" w:ascii="Times New Roman" w:hAnsi="Times New Roman" w:eastAsia="方正仿宋_GBK" w:cs="Times New Roman"/>
          <w:b w:val="0"/>
          <w:bCs w:val="0"/>
          <w:spacing w:val="-4"/>
          <w:sz w:val="32"/>
          <w:szCs w:val="32"/>
        </w:rPr>
        <w:tab/>
        <w:t>资金到位率</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预算执行率</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资金使用合规性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组织实施</w:t>
      </w:r>
      <w:r>
        <w:rPr>
          <w:rStyle w:val="18"/>
          <w:rFonts w:hint="default" w:ascii="Times New Roman" w:hAnsi="Times New Roman" w:eastAsia="方正仿宋_GBK" w:cs="Times New Roman"/>
          <w:b w:val="0"/>
          <w:bCs w:val="0"/>
          <w:spacing w:val="-4"/>
          <w:sz w:val="32"/>
          <w:szCs w:val="32"/>
        </w:rPr>
        <w:tab/>
        <w:t>管理制度健全性</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制度执行有效性</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产出</w:t>
      </w:r>
      <w:r>
        <w:rPr>
          <w:rStyle w:val="18"/>
          <w:rFonts w:hint="default" w:ascii="Times New Roman" w:hAnsi="Times New Roman" w:eastAsia="方正仿宋_GBK" w:cs="Times New Roman"/>
          <w:b w:val="0"/>
          <w:bCs w:val="0"/>
          <w:spacing w:val="-4"/>
          <w:sz w:val="32"/>
          <w:szCs w:val="32"/>
        </w:rPr>
        <w:tab/>
        <w:t>产出数量</w:t>
      </w:r>
      <w:r>
        <w:rPr>
          <w:rStyle w:val="18"/>
          <w:rFonts w:hint="default" w:ascii="Times New Roman" w:hAnsi="Times New Roman" w:eastAsia="方正仿宋_GBK" w:cs="Times New Roman"/>
          <w:b w:val="0"/>
          <w:bCs w:val="0"/>
          <w:spacing w:val="-4"/>
          <w:sz w:val="32"/>
          <w:szCs w:val="32"/>
        </w:rPr>
        <w:tab/>
        <w:t>养护用工人数</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产出质量</w:t>
      </w:r>
      <w:r>
        <w:rPr>
          <w:rStyle w:val="18"/>
          <w:rFonts w:hint="default" w:ascii="Times New Roman" w:hAnsi="Times New Roman" w:eastAsia="方正仿宋_GBK" w:cs="Times New Roman"/>
          <w:b w:val="0"/>
          <w:bCs w:val="0"/>
          <w:spacing w:val="-4"/>
          <w:sz w:val="32"/>
          <w:szCs w:val="32"/>
        </w:rPr>
        <w:tab/>
        <w:t>地被植物覆盖率</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4</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乔木成活率</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
      </w:r>
      <w:r>
        <w:rPr>
          <w:rStyle w:val="18"/>
          <w:rFonts w:hint="default" w:ascii="Times New Roman" w:hAnsi="Times New Roman" w:eastAsia="方正仿宋_GBK" w:cs="Times New Roman"/>
          <w:b w:val="0"/>
          <w:bCs w:val="0"/>
          <w:spacing w:val="-4"/>
          <w:sz w:val="32"/>
          <w:szCs w:val="32"/>
        </w:rPr>
        <w:tab/>
        <w:t>病虫害危害率</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3</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产出时效</w:t>
      </w:r>
      <w:r>
        <w:rPr>
          <w:rStyle w:val="18"/>
          <w:rFonts w:hint="default" w:ascii="Times New Roman" w:hAnsi="Times New Roman" w:eastAsia="方正仿宋_GBK" w:cs="Times New Roman"/>
          <w:b w:val="0"/>
          <w:bCs w:val="0"/>
          <w:spacing w:val="-4"/>
          <w:sz w:val="32"/>
          <w:szCs w:val="32"/>
        </w:rPr>
        <w:tab/>
        <w:t>完成时间段</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产出成本</w:t>
      </w:r>
      <w:r>
        <w:rPr>
          <w:rStyle w:val="18"/>
          <w:rFonts w:hint="default" w:ascii="Times New Roman" w:hAnsi="Times New Roman" w:eastAsia="方正仿宋_GBK" w:cs="Times New Roman"/>
          <w:b w:val="0"/>
          <w:bCs w:val="0"/>
          <w:spacing w:val="-4"/>
          <w:sz w:val="32"/>
          <w:szCs w:val="32"/>
        </w:rPr>
        <w:tab/>
        <w:t>平均用工成本</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效益</w:t>
      </w:r>
      <w:r>
        <w:rPr>
          <w:rStyle w:val="18"/>
          <w:rFonts w:hint="default" w:ascii="Times New Roman" w:hAnsi="Times New Roman" w:eastAsia="方正仿宋_GBK" w:cs="Times New Roman"/>
          <w:b w:val="0"/>
          <w:bCs w:val="0"/>
          <w:spacing w:val="-4"/>
          <w:sz w:val="32"/>
          <w:szCs w:val="32"/>
        </w:rPr>
        <w:tab/>
        <w:t>社会效益指标</w:t>
      </w:r>
      <w:r>
        <w:rPr>
          <w:rStyle w:val="18"/>
          <w:rFonts w:hint="default" w:ascii="Times New Roman" w:hAnsi="Times New Roman" w:eastAsia="方正仿宋_GBK" w:cs="Times New Roman"/>
          <w:b w:val="0"/>
          <w:bCs w:val="0"/>
          <w:spacing w:val="-4"/>
          <w:sz w:val="32"/>
          <w:szCs w:val="32"/>
        </w:rPr>
        <w:tab/>
        <w:t>对城市绿化美化的作用</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ab/>
        <w:t>生态效益指标</w:t>
      </w:r>
      <w:r>
        <w:rPr>
          <w:rStyle w:val="18"/>
          <w:rFonts w:hint="default" w:ascii="Times New Roman" w:hAnsi="Times New Roman" w:eastAsia="方正仿宋_GBK" w:cs="Times New Roman"/>
          <w:b w:val="0"/>
          <w:bCs w:val="0"/>
          <w:spacing w:val="-4"/>
          <w:sz w:val="32"/>
          <w:szCs w:val="32"/>
        </w:rPr>
        <w:tab/>
        <w:t>绿地环境整洁率</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满意度指标完成情况分析</w:t>
      </w:r>
      <w:r>
        <w:rPr>
          <w:rStyle w:val="18"/>
          <w:rFonts w:hint="default" w:ascii="Times New Roman" w:hAnsi="Times New Roman" w:eastAsia="方正仿宋_GBK" w:cs="Times New Roman"/>
          <w:b w:val="0"/>
          <w:bCs w:val="0"/>
          <w:spacing w:val="-4"/>
          <w:sz w:val="32"/>
          <w:szCs w:val="32"/>
        </w:rPr>
        <w:tab/>
        <w:t>满意度指标</w:t>
      </w:r>
      <w:r>
        <w:rPr>
          <w:rStyle w:val="18"/>
          <w:rFonts w:hint="default" w:ascii="Times New Roman" w:hAnsi="Times New Roman" w:eastAsia="方正仿宋_GBK" w:cs="Times New Roman"/>
          <w:b w:val="0"/>
          <w:bCs w:val="0"/>
          <w:spacing w:val="-4"/>
          <w:sz w:val="32"/>
          <w:szCs w:val="32"/>
        </w:rPr>
        <w:tab/>
        <w:t>市民满意度</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5</w:t>
      </w:r>
      <w:r>
        <w:rPr>
          <w:rStyle w:val="18"/>
          <w:rFonts w:hint="default" w:ascii="Times New Roman" w:hAnsi="Times New Roman" w:eastAsia="方正仿宋_GBK" w:cs="Times New Roman"/>
          <w:b w:val="0"/>
          <w:bCs w:val="0"/>
          <w:spacing w:val="-4"/>
          <w:sz w:val="32"/>
          <w:szCs w:val="32"/>
        </w:rPr>
        <w:tab/>
        <w:t>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二）主要绩效</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该项目资金市财政及时拨付，单位在此次评价期间内，有序完成会展周边道路绿地及景观带约56万平方米的绿化养护工，采用了生物防治、物理防治和化学防治等多种方法，达到全年无病虫害危害发生，顺利完成绩效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采取了合理的施肥和修剪措施，使得地被植物覆盖率达到99.83%，乔木成活率达到100%。</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通过定期清扫和垃圾清理、修剪和整理植被、设置垃圾回收设施、 加强宣传教育、 开展志愿者活动等措施，有效提高会展周边道路绿地的环境整洁率，最终效果达到99.80%，创造一个更加宜人、绿色和可持续发展的城市环境。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通过定期与市民沟通交流，了解并积极采纳市民对会展周边道路绿化环境的意见和建议，不断改进和完善绿化养护工作。通过我们的努力，市民对绿化环境的满意度达到100%。</w:t>
      </w:r>
    </w:p>
    <w:p>
      <w:pPr>
        <w:spacing w:line="540" w:lineRule="exact"/>
        <w:ind w:firstLine="640"/>
        <w:rPr>
          <w:rStyle w:val="18"/>
          <w:rFonts w:hint="default" w:ascii="Times New Roman" w:hAnsi="Times New Roman" w:eastAsia="方正仿宋_GBK" w:cs="Times New Roman"/>
          <w:sz w:val="32"/>
          <w:szCs w:val="32"/>
        </w:rPr>
      </w:pPr>
      <w:r>
        <w:rPr>
          <w:rStyle w:val="18"/>
          <w:rFonts w:hint="default" w:ascii="Times New Roman" w:hAnsi="Times New Roman" w:eastAsia="方正仿宋_GBK" w:cs="Times New Roman"/>
          <w:b w:val="0"/>
          <w:spacing w:val="-4"/>
          <w:sz w:val="32"/>
          <w:szCs w:val="32"/>
        </w:rPr>
        <w:t>四、绩效评价指标分析</w:t>
      </w:r>
      <w:r>
        <w:rPr>
          <w:rStyle w:val="18"/>
          <w:rFonts w:hint="default" w:ascii="Times New Roman" w:hAnsi="Times New Roman" w:eastAsia="方正仿宋_GBK" w:cs="Times New Roman"/>
          <w:sz w:val="32"/>
          <w:szCs w:val="32"/>
        </w:rPr>
        <w:t xml:space="preserve"> </w:t>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Fonts w:hint="default" w:ascii="Times New Roman" w:hAnsi="Times New Roman" w:eastAsia="方正仿宋_GBK" w:cs="Times New Roman"/>
          <w:b/>
          <w:spacing w:val="-4"/>
          <w:sz w:val="32"/>
          <w:szCs w:val="32"/>
        </w:rPr>
        <w:t>（一）</w:t>
      </w:r>
      <w:r>
        <w:rPr>
          <w:rStyle w:val="18"/>
          <w:rFonts w:hint="default" w:ascii="Times New Roman" w:hAnsi="Times New Roman" w:eastAsia="方正仿宋_GBK" w:cs="Times New Roman"/>
          <w:spacing w:val="-4"/>
          <w:sz w:val="32"/>
          <w:szCs w:val="32"/>
        </w:rPr>
        <w:t>项目决策情况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项目决算指标由3个二级指标和6个三级指标构成，权重为20分，实际得分 20分。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1.项目立项</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立项依据充分性：项目立项符合国家法律法规、政策要求。乌鲁木齐市水上乐园属于市林业和草原局（园林管理局）下属二级单位，性质为差额拨款事业单位。同时，项目与我单位宗旨和业务范围内容中---负责公园生态环境建设及相关设施、绿地、树木管理和维护职责范围相符，属于部门履职所需。此外，我单位拥有专业领域园林工程师32人的技术团队，配套的园林机械，本项目属于城市道路公共绿地养护，属公共财政支持范围。因此，立项依据充分，得4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立项程序规范性: 项目按照规定的程序申请设立，经主管局乌林函【2023】174号向市建设局请示，经乌财建【2023】29号、乌财建【2023】72号、乌财建【2023】176号、乌财建【2023】394号文件批准，审批文件、材料符合相关要求，故立项程序规范，得4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综上，该指标满分8分，得分8分。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2.绩效目标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绩效目标合理性：本项目的绩效目标按照产出、成本、效益和满意度构建绩效评价指标，成立了专项领导小组，结合我市城市道路绿化及季节性鲜明的特点，具有明确性、可衡量性、可实现性、相关性和时限性等特点，在有限的资金投入下，最大程度的做到会展片区绿化养护精细化，营造城市美丽环境，能较为全面地反映本项目的产出和效益，故绩效目标合理性指标得分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绩效目标明确性：其中，目标已细化为具体的绩效指标三级指标有9个，分别是：养护用工人数、地被植物覆盖率、乔木成活率、病虫害危害率、完成时间段、平均用工成本、对城市绿化美化的作用、绿地环境整洁率、市民满意度，可通过数量指标、质量指标、时效指标和成本指标予以量化，并具有确切的评价标准，且指标设定均与目标相关。各项指标均能在现实条件下收集到相关数据进行佐证（通过养护用工考勤表及发放表确认养护用工人数及平均用工成本、通过地被植物覆盖率、乔木成活率、病虫害危害率检查表方式确认质量指标达标率，通过调查问卷向市民收集满意度调查表方式等达到各项数据的真实收集，），并与当年项目年度计划相对应，故绩效目标明确性指标得分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综上，该指标满分6分，得分6分。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3.资金投入</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预算编制科学性：会展周边道路绿地及景观带养护管理专项经费属于城维费项目，由主管局向市建设局申请乌林函【2023】174号《关于拨付2022年度第四批城市绿化专项资金的函》，市级财政年中调整调剂追加预算，属于2022年项目，2023年资金拨付。按照《乌鲁木齐市园林绿地养护管理估算指标》道路绿地一级养护管理实物量指标计算560000平方米*7.42元/平方米=415.52万元，该项目实际拨付267.85万元，故预算编制科学性指标得分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资金分配合理性：该项目总预算267.85万元、资金投入包括：1、绿化日常养护整形修剪、卫生保洁的人工劳务等；2、灌溉的水费；3、病虫害防治、绿化补植及灌溉管网修缮等。每个方向的预算投入：优先保障绿化养护人工费170.95万元的支出，其次水费75.36万元及电费2.32万元， 材料费19.22万元，资金分配合理。故资金分配合理性指标得分3分。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综上，该指标满分6分，得分6分。</w:t>
      </w:r>
      <w:r>
        <w:rPr>
          <w:rStyle w:val="18"/>
          <w:rFonts w:hint="default" w:ascii="Times New Roman" w:hAnsi="Times New Roman" w:eastAsia="方正仿宋_GBK" w:cs="Times New Roman"/>
          <w:b w:val="0"/>
          <w:bCs w:val="0"/>
          <w:spacing w:val="-4"/>
          <w:sz w:val="32"/>
          <w:szCs w:val="32"/>
        </w:rPr>
        <w:tab/>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Fonts w:hint="default" w:ascii="Times New Roman" w:hAnsi="Times New Roman" w:eastAsia="方正仿宋_GBK" w:cs="Times New Roman"/>
          <w:b/>
          <w:spacing w:val="-4"/>
          <w:sz w:val="32"/>
          <w:szCs w:val="32"/>
        </w:rPr>
        <w:t>（二）</w:t>
      </w:r>
      <w:r>
        <w:rPr>
          <w:rStyle w:val="18"/>
          <w:rFonts w:hint="default" w:ascii="Times New Roman" w:hAnsi="Times New Roman" w:eastAsia="方正仿宋_GBK" w:cs="Times New Roman"/>
          <w:spacing w:val="-4"/>
          <w:sz w:val="32"/>
          <w:szCs w:val="32"/>
        </w:rPr>
        <w:t>项目过程情况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项目过程指标由2个二级指标和5个三级指标构成，权重为20分，实际得分20分。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1.资金管理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资金到位率：该项目由市级财政支付，分别在2023年2月15日拨付86万元，2023年5月4日追加52万元，2023年6月25日追加资金100万元，2023年12月14日追加资金29.85万元，全年累计金额：267.85万元，实际到位资金267.85万元，到位率100%，故到位率指标得分5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预算执行率：会展周边道路绿地及景观带养护管理专项经费实际到位资金267.85万元，累计支付267.85万元，执行率100%，故预算执行率得分为5分。具体支付情况如下：</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2月15日向乌鲁木齐市中盛益诚商贸有限公司（劳务派遣）支付绿化养护用工86万元；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5月4日向乌鲁木齐水业集团有限公司支付水费22.76万元；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5月10日向天山区新华南路元平浩建材经销部支付树木涂白材料0.5万元；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5月10日向沙依巴克区南昌路明珠花卉市场尚绿坊花业店支付花卉补植1.98万元；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5月10日向新疆景丰盛世机械设备有限公司支付园林机械维修1.98万元；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5月10日向乌鲁木齐市中盛益诚商贸有限公司（劳务派遣）支付绿化养护用工17.55万元；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5月10日向新疆景丰盛世机械设备有限公司支付园林机械维修4.91万元；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5月10日向孙海风（项目现场负责人）支付垫付电费0.32万元；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5月10日向国网新疆电力有限公司支付电费2万元；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6月25日向乌鲁木齐市中盛益诚商贸有限公司（劳务派遣）支付绿化养护用工37.55元；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7月4日向新疆国际会展中心支付水费8.38万元；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7月4日向乌鲁木齐森得堡生物防治有限公司支付植保防治5.12万元；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7月4日向乌鲁木齐水业集团有限公司支付水费39.87万元；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7月4日向乌鲁木齐市米东区普邦园林设备经销部支付管线维修材料2.11万元；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7月4日向新疆一言鼎盛广告设计有限公司支付宣传标语制作费2.63万元；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7月4日向新疆俊发红光山生态旅游有限责任公司支付水费4.35万元；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12月14日向乌鲁木齐市中盛益诚商贸有限公司支付乌鲁木齐市中盛益诚商贸有限公司（劳务派遣）绿化养护用工29.85万元。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资金使用合规性：本项目资金的使用符合《乌鲁木齐市水上乐园专项资金管理使用制度》管理制度以及有关《乌鲁木齐市水上乐园结账流程》的规定。同时，资金的拨付按照我园内控管理2万元以上的属于大额支付，必须走总支委员会集体研究讨论审批程序，2万元以下的支付需要经办人申请，分管领导确认情况属实，主管领导审核同意，并且发票真实、合同及验收手续齐全，符合政采手续，符合项目预算批复的用途，不存在截留、挤占、挪用、虚列支出等情况。故资金使用合规性得分为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综上，该指标满分13分，得分13分。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2.组织实施</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管理制度健全性：会展周边道路绿地及景观带养护管理专项经费已制定相应的《乌鲁木齐市水上乐园绿地养护考核标准》、《水上乐园养护管理制度》、《乌鲁木齐市水上乐园专项资金管理使用制度》、《乌鲁木齐市水上乐园资金监督检查工作方案》、《水上乐园结账流程》等管理制度，且制度合法、合规、完整，为项目顺利实施提供重要保障。故管理制度健全性得分为3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制度执行有效性：根据评价小组核查情况，会展周边道路绿地及景观带养护管理专项经费严格遵守《乌鲁木齐市水上乐园绿地养护考核标准》、《水上乐园养护管理制度》、《乌鲁木齐市水上乐园专项资金管理使用制度》、及《乌鲁木齐市水上乐园资金监督检查工作方案》、《水上乐园结账流程》相关法律法规和相关管理规定，项目调整及支出调整手续完备，整体管理合理有序，项目完成后，及时将各项财务凭证、各项检查表、各项影像资料、各项调查表及人力资源资料归集整理，制度执行有效。故制度执行有效性指标得分4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综上，该指标满分7分，得分7分。</w:t>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Fonts w:hint="default" w:ascii="Times New Roman" w:hAnsi="Times New Roman" w:eastAsia="方正仿宋_GBK" w:cs="Times New Roman"/>
          <w:b/>
          <w:spacing w:val="-4"/>
          <w:sz w:val="32"/>
          <w:szCs w:val="32"/>
        </w:rPr>
        <w:t>（三）</w:t>
      </w:r>
      <w:r>
        <w:rPr>
          <w:rStyle w:val="18"/>
          <w:rFonts w:hint="default" w:ascii="Times New Roman" w:hAnsi="Times New Roman" w:eastAsia="方正仿宋_GBK" w:cs="Times New Roman"/>
          <w:spacing w:val="-4"/>
          <w:sz w:val="32"/>
          <w:szCs w:val="32"/>
        </w:rPr>
        <w:t>项目产出情况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项目产出指标：由4个二级指标和6个三级指标构成，权重为40分，实际得分40分。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1.产出数量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数量指标：</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“养护用工人数”的目标值是46人，该项目2022年度我单位实际用养护用工人数为46人。实际完成率：100%，故实际完成率得分为10分。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2.产出质量</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地被植物覆盖率：地被植物覆盖率率得分为4分，我单位在项目开始初期，设置地被植物覆盖率≥80%，通过及时灌溉，病虫害防治等方法使得地被植物覆盖率实际达到99.83%，目标值已完成。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乔木成活率：乔木成活率得分为3分，我单位在项目开始初期，设置乔木成活率≥95%，通过及时灌溉，修剪、病虫害防治等方法使得乔木成活率实际达到100%，目标值已完成。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病虫害危害率：病虫害危害率得分为3分，我单位在项目开始初期，设置病虫害危害率≤10%，通过及时树木涂白等防治方法防治使得病虫害危害率实际达到0%，目标值已完成。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3.产出时效</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完成及时性：该项目完成时间段1月—12月，在此期间各项绿化养护工作按照计划规范如期执行，完成全年的绿化养护任务。</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项目完成时间段：1月-12月</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故完成及时性得分为10分。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4.产出成本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平均用工成本：平均用工成本得分为8.507分，项目开始初期，设置平均用工成本≤5600元/人，56万平方米的养护面积非常大，而且大面积密植的各类乔木、灌木、花卉及草坪参差错落，缤纷复杂，但我单位考虑在有限的资金内，压缩养护人员数量，尽可能最大程度调动人员积极性，平均用工成本5308.91元/月，小于5600元/人，未超支，故实际得分10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综上，该部分指标满分40分，得分40分。</w:t>
      </w:r>
    </w:p>
    <w:p>
      <w:pPr>
        <w:spacing w:line="540" w:lineRule="exact"/>
        <w:ind w:firstLine="567" w:firstLineChars="181"/>
        <w:rPr>
          <w:rStyle w:val="18"/>
          <w:rFonts w:hint="default" w:ascii="Times New Roman" w:hAnsi="Times New Roman" w:eastAsia="方正仿宋_GBK" w:cs="Times New Roman"/>
          <w:b w:val="0"/>
          <w:bCs w:val="0"/>
          <w:spacing w:val="-4"/>
          <w:sz w:val="32"/>
          <w:szCs w:val="32"/>
        </w:rPr>
      </w:pPr>
      <w:r>
        <w:rPr>
          <w:rFonts w:hint="default" w:ascii="Times New Roman" w:hAnsi="Times New Roman" w:eastAsia="方正仿宋_GBK" w:cs="Times New Roman"/>
          <w:b/>
          <w:spacing w:val="-4"/>
          <w:sz w:val="32"/>
          <w:szCs w:val="32"/>
        </w:rPr>
        <w:t>（四）</w:t>
      </w:r>
      <w:r>
        <w:rPr>
          <w:rStyle w:val="18"/>
          <w:rFonts w:hint="default" w:ascii="Times New Roman" w:hAnsi="Times New Roman" w:eastAsia="方正仿宋_GBK" w:cs="Times New Roman"/>
          <w:spacing w:val="-4"/>
          <w:sz w:val="32"/>
          <w:szCs w:val="32"/>
        </w:rPr>
        <w:t>项目效益情况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项目效益指标由3个二级指标和3个三级指标构成，权重为20分，实际得分20分。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1.项目效益</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（1）社会效益指标：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评价指标：对城市绿化美化作用；指标值：显著提升；实际完成值：显著提升；权重 10分，实际完成值10分。达成年度指标。本项目的实施对市民居住环境提出了更高要求，环境的优劣直接影响人们的生活质量，会展周边的绿化养护不仅可以净化空气，吸收二氧化碳和其他有毒有害气体，吸附粉尘，起到防风固沙，保护水土，减少沙尘暴和抑制荒漠化程度，降低雾霾天气，风速等作用；美化环境，提高城市品位。能让城市环境更适合人类居住，也能更好的维护生态平衡，会让城市变得更美丽更漂亮，增加城市居住的幸福指数，对城市绿地美化的提升效果显著。</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（2）生态效益指标：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评价指标：绿地环境整洁率；指标值≥95%，实际完成值：99.8%，权重5分，实际完成值5分。达成年度指标。本项目的实施有效提高会展周边道路绿地的环境整洁率，营造了美丽的城市环境，得到了广大市民的认可，创造了一个更加宜人、绿色和可持续发展的城市环境。</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综上，该指标满分15分，得分15分。</w:t>
      </w:r>
    </w:p>
    <w:p>
      <w:pPr>
        <w:spacing w:line="540" w:lineRule="exact"/>
        <w:ind w:firstLine="567"/>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2. 满意度指标完成情况分析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满意度指标：评价指标：市民满意度，指标值：≥95%，实际完成值：100%。我们非常重视市民的反馈，经常与市民沟通交流，通过设置问卷调查的方式进行考评评价，共计调查样本总量为40个样本，有效调查问卷40份。其中，统计“满意”的平均值为100%。故满意度指标得分为5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综上，该指标满分5分，得分5分。</w:t>
      </w:r>
    </w:p>
    <w:p>
      <w:pPr>
        <w:spacing w:line="540" w:lineRule="exact"/>
        <w:ind w:firstLine="567"/>
        <w:rPr>
          <w:rStyle w:val="18"/>
          <w:rFonts w:hint="default" w:ascii="Times New Roman" w:hAnsi="Times New Roman" w:eastAsia="方正仿宋_GBK" w:cs="Times New Roman"/>
          <w:spacing w:val="-4"/>
          <w:sz w:val="32"/>
          <w:szCs w:val="32"/>
        </w:rPr>
      </w:pPr>
    </w:p>
    <w:p>
      <w:pPr>
        <w:spacing w:line="540" w:lineRule="exact"/>
        <w:ind w:firstLine="640"/>
        <w:rPr>
          <w:rFonts w:hint="default" w:ascii="Times New Roman" w:hAnsi="Times New Roman" w:eastAsia="方正仿宋_GBK" w:cs="Times New Roman"/>
          <w:spacing w:val="-4"/>
          <w:sz w:val="32"/>
          <w:szCs w:val="32"/>
        </w:rPr>
      </w:pPr>
      <w:r>
        <w:rPr>
          <w:rStyle w:val="18"/>
          <w:rFonts w:hint="default" w:ascii="Times New Roman" w:hAnsi="Times New Roman" w:eastAsia="方正仿宋_GBK" w:cs="Times New Roman"/>
          <w:b w:val="0"/>
          <w:spacing w:val="-4"/>
          <w:sz w:val="32"/>
          <w:szCs w:val="32"/>
        </w:rPr>
        <w:t>五、主要经验及做法、存在的问题及原因分析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（一）主要经验及做法</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大量的人流和车流可能会对绿植造成更大的压力，导致土壤压实、植被受损等。根据会展周边道路绿化的时间和规模，制定具体的绿化养护计划，做好定期评估，根据实际情况及时调整策略。定期修剪绿植可以保持良好的形态，促进植物健康生长，同时确保道路的视野不受阻挡。</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（二）存在的问题及原因分析</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绩效评价是一项系统性工作，需要具体负责项目绩效评价的项目管理科室推进工作。在项目论证初期，通过全面的调研和分析，明确项目目标和绩效指标，待资金下达，项目管理科室应当在整个项目周期内负责绩效评价的具体推进,包括建立有效的绩效评价体系，收集和分析关键数据，监测项目进展，并及时进行调整以确保项目目标的实现。</w:t>
      </w:r>
    </w:p>
    <w:p>
      <w:pPr>
        <w:spacing w:line="540" w:lineRule="exact"/>
        <w:ind w:firstLine="640"/>
        <w:rPr>
          <w:rStyle w:val="18"/>
          <w:rFonts w:hint="default" w:ascii="Times New Roman" w:hAnsi="Times New Roman" w:eastAsia="方正仿宋_GBK" w:cs="Times New Roman"/>
          <w:spacing w:val="-4"/>
          <w:sz w:val="32"/>
          <w:szCs w:val="32"/>
        </w:rPr>
      </w:pPr>
      <w:r>
        <w:rPr>
          <w:rStyle w:val="18"/>
          <w:rFonts w:hint="default" w:ascii="Times New Roman" w:hAnsi="Times New Roman" w:eastAsia="方正仿宋_GBK" w:cs="Times New Roman"/>
          <w:b w:val="0"/>
          <w:spacing w:val="-4"/>
          <w:sz w:val="32"/>
          <w:szCs w:val="32"/>
        </w:rPr>
        <w:t>六、有关建议</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事前评估的必要性至关重要，项目申报前就先进行目标绩效申报，根据项目的特性确立绩效目标，从而在执行整个项目的过程中，紧紧围绕目标值来进行，对项目实施、跟踪、监督、评价的引导作用。我单位将在以后年度的财政项目绩效目标申报工作中结合项目实施内容及特点，设置更为准确的绩效目标，最大限度提高财政资源配置效率和资金使用效益。</w:t>
      </w:r>
    </w:p>
    <w:p>
      <w:pPr>
        <w:spacing w:line="540" w:lineRule="exact"/>
        <w:ind w:firstLine="640"/>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spacing w:val="-4"/>
          <w:sz w:val="32"/>
          <w:szCs w:val="32"/>
        </w:rPr>
        <w:t>七、其他需要说明的问题</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1.项目支出政策和路径设计科学，符合实际需要；</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2.项目安排准确，未发现背离项目立项初衷的情况；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3.项目的申报、审核机制完善；</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4.未发现虚假行为和骗取财政资金的问题。</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七、其他需要说明的问题</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1.项目支出政策和路径设计科学，符合实际需要；</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2.项目安排准确，未发现背离项目立项初衷的情况；</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3.项目的申报、审核机制完善；</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4.未发现虚假行为和骗取财政资金的问题。</w:t>
      </w:r>
      <w:r>
        <w:rPr>
          <w:rStyle w:val="18"/>
          <w:rFonts w:hint="default" w:ascii="Times New Roman" w:hAnsi="Times New Roman" w:eastAsia="方正仿宋_GBK" w:cs="Times New Roman"/>
          <w:b w:val="0"/>
          <w:bCs w:val="0"/>
          <w:spacing w:val="-4"/>
          <w:sz w:val="32"/>
          <w:szCs w:val="32"/>
        </w:rPr>
        <w:cr/>
      </w:r>
    </w:p>
    <w:p>
      <w:pPr>
        <w:spacing w:line="540" w:lineRule="exact"/>
        <w:ind w:firstLine="567"/>
        <w:rPr>
          <w:rStyle w:val="18"/>
          <w:rFonts w:hint="default" w:ascii="Times New Roman" w:hAnsi="Times New Roman" w:eastAsia="方正仿宋_GBK" w:cs="Times New Roman"/>
          <w:b w:val="0"/>
          <w:spacing w:val="-4"/>
          <w:sz w:val="32"/>
          <w:szCs w:val="32"/>
        </w:rPr>
      </w:pPr>
    </w:p>
    <w:p>
      <w:pPr>
        <w:spacing w:line="540" w:lineRule="exact"/>
        <w:ind w:firstLine="567"/>
        <w:rPr>
          <w:rStyle w:val="18"/>
          <w:rFonts w:hint="default" w:ascii="Times New Roman" w:hAnsi="Times New Roman" w:eastAsia="方正仿宋_GBK" w:cs="Times New Roman"/>
          <w:b w:val="0"/>
          <w:spacing w:val="-4"/>
          <w:sz w:val="32"/>
          <w:szCs w:val="32"/>
        </w:rPr>
      </w:pPr>
    </w:p>
    <w:p>
      <w:pPr>
        <w:spacing w:line="540" w:lineRule="exact"/>
        <w:ind w:firstLine="567"/>
        <w:rPr>
          <w:rStyle w:val="18"/>
          <w:rFonts w:hint="default" w:ascii="Times New Roman" w:hAnsi="Times New Roman" w:eastAsia="方正仿宋_GBK" w:cs="Times New Roman"/>
          <w:b w:val="0"/>
          <w:spacing w:val="-4"/>
          <w:sz w:val="32"/>
          <w:szCs w:val="32"/>
        </w:rPr>
      </w:pPr>
    </w:p>
    <w:p>
      <w:pPr>
        <w:spacing w:line="540" w:lineRule="exact"/>
        <w:ind w:firstLine="567"/>
        <w:rPr>
          <w:rStyle w:val="18"/>
          <w:rFonts w:hint="default" w:ascii="Times New Roman" w:hAnsi="Times New Roman" w:eastAsia="方正仿宋_GBK" w:cs="Times New Roman"/>
          <w:b w:val="0"/>
          <w:spacing w:val="-4"/>
          <w:sz w:val="32"/>
          <w:szCs w:val="32"/>
        </w:rPr>
      </w:pPr>
    </w:p>
    <w:p>
      <w:pPr>
        <w:spacing w:line="540" w:lineRule="exact"/>
        <w:ind w:firstLine="567"/>
        <w:rPr>
          <w:rStyle w:val="18"/>
          <w:rFonts w:hint="default" w:ascii="Times New Roman" w:hAnsi="Times New Roman" w:eastAsia="方正仿宋_GBK" w:cs="Times New Roman"/>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E242C45"/>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Words>
  <Characters>546</Characters>
  <Lines>4</Lines>
  <Paragraphs>1</Paragraphs>
  <TotalTime>16</TotalTime>
  <ScaleCrop>false</ScaleCrop>
  <LinksUpToDate>false</LinksUpToDate>
  <CharactersWithSpaces>640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2024-08-20T04:57:20Z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