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kern w:val="0"/>
          <w:sz w:val="50"/>
          <w:szCs w:val="50"/>
        </w:rPr>
      </w:pPr>
    </w:p>
    <w:p>
      <w:pPr>
        <w:spacing w:line="480" w:lineRule="auto"/>
        <w:ind w:firstLine="0" w:firstLineChars="0"/>
        <w:rPr>
          <w:rFonts w:ascii="Times New Roman" w:hAnsi="Times New Roman" w:eastAsia="黑体" w:cs="Times New Roman"/>
          <w:b/>
          <w:kern w:val="0"/>
          <w:sz w:val="50"/>
          <w:szCs w:val="50"/>
        </w:rPr>
      </w:pPr>
    </w:p>
    <w:p>
      <w:pPr>
        <w:spacing w:line="480" w:lineRule="auto"/>
        <w:ind w:firstLine="0" w:firstLineChars="0"/>
        <w:jc w:val="center"/>
        <w:rPr>
          <w:rFonts w:ascii="Times New Roman" w:hAnsi="Times New Roman" w:eastAsia="黑体" w:cs="Times New Roman"/>
          <w:b/>
          <w:kern w:val="0"/>
          <w:sz w:val="50"/>
          <w:szCs w:val="50"/>
        </w:rPr>
      </w:pPr>
    </w:p>
    <w:p>
      <w:pPr>
        <w:spacing w:before="120" w:after="120" w:line="480" w:lineRule="auto"/>
        <w:ind w:firstLine="0" w:firstLineChars="0"/>
        <w:jc w:val="center"/>
        <w:rPr>
          <w:rFonts w:hint="eastAsia" w:ascii="方正小标宋_GBK" w:hAnsi="方正小标宋_GBK" w:eastAsia="方正小标宋_GBK" w:cs="方正小标宋_GBK"/>
          <w:b/>
          <w:sz w:val="44"/>
          <w:szCs w:val="44"/>
        </w:rPr>
      </w:pPr>
      <w:r>
        <w:rPr>
          <w:rFonts w:hint="eastAsia" w:ascii="方正小标宋_GBK" w:hAnsi="方正小标宋_GBK" w:eastAsia="方正小标宋_GBK" w:cs="方正小标宋_GBK"/>
          <w:b/>
          <w:sz w:val="44"/>
          <w:szCs w:val="44"/>
        </w:rPr>
        <w:t>财政项目支出绩效评价报告</w:t>
      </w:r>
    </w:p>
    <w:p>
      <w:pPr>
        <w:spacing w:line="480" w:lineRule="auto"/>
        <w:ind w:firstLine="0" w:firstLineChars="0"/>
        <w:jc w:val="center"/>
        <w:rPr>
          <w:rFonts w:ascii="Times New Roman" w:hAnsi="Times New Roman" w:eastAsia="黑体" w:cs="Times New Roman"/>
          <w:b/>
          <w:kern w:val="0"/>
          <w:sz w:val="50"/>
          <w:szCs w:val="50"/>
        </w:rPr>
      </w:pPr>
    </w:p>
    <w:p>
      <w:pPr>
        <w:spacing w:line="480" w:lineRule="auto"/>
        <w:ind w:firstLine="0" w:firstLineChars="0"/>
        <w:jc w:val="center"/>
        <w:rPr>
          <w:rFonts w:ascii="Times New Roman" w:hAnsi="Times New Roman" w:eastAsia="黑体" w:cs="Times New Roman"/>
          <w:b/>
          <w:kern w:val="0"/>
          <w:sz w:val="50"/>
          <w:szCs w:val="50"/>
        </w:rPr>
      </w:pPr>
    </w:p>
    <w:p>
      <w:pPr>
        <w:spacing w:line="480" w:lineRule="auto"/>
        <w:ind w:firstLine="0" w:firstLineChars="0"/>
        <w:jc w:val="center"/>
        <w:rPr>
          <w:rFonts w:ascii="Times New Roman" w:hAnsi="Times New Roman" w:eastAsia="黑体" w:cs="Times New Roman"/>
          <w:b/>
          <w:kern w:val="0"/>
          <w:sz w:val="50"/>
          <w:szCs w:val="50"/>
        </w:rPr>
      </w:pPr>
    </w:p>
    <w:p>
      <w:pPr>
        <w:spacing w:line="480" w:lineRule="auto"/>
        <w:ind w:firstLine="0" w:firstLineChars="0"/>
        <w:jc w:val="center"/>
        <w:rPr>
          <w:rFonts w:ascii="Times New Roman" w:hAnsi="Times New Roman" w:eastAsia="黑体" w:cs="Times New Roman"/>
          <w:b/>
          <w:kern w:val="0"/>
          <w:sz w:val="50"/>
          <w:szCs w:val="50"/>
        </w:rPr>
      </w:pPr>
    </w:p>
    <w:p>
      <w:pPr>
        <w:spacing w:line="480" w:lineRule="auto"/>
        <w:ind w:firstLine="0" w:firstLineChars="0"/>
        <w:jc w:val="center"/>
        <w:rPr>
          <w:rFonts w:ascii="Times New Roman" w:hAnsi="Times New Roman" w:eastAsia="黑体" w:cs="Times New Roman"/>
          <w:b/>
          <w:kern w:val="0"/>
          <w:sz w:val="50"/>
          <w:szCs w:val="50"/>
        </w:rPr>
      </w:pPr>
    </w:p>
    <w:p>
      <w:pPr>
        <w:spacing w:line="480" w:lineRule="auto"/>
        <w:ind w:firstLine="0" w:firstLineChars="0"/>
        <w:jc w:val="center"/>
        <w:rPr>
          <w:rFonts w:ascii="Times New Roman" w:hAnsi="Times New Roman" w:eastAsia="黑体" w:cs="Times New Roman"/>
          <w:b/>
          <w:kern w:val="0"/>
          <w:sz w:val="50"/>
          <w:szCs w:val="50"/>
        </w:rPr>
      </w:pPr>
    </w:p>
    <w:p>
      <w:pPr>
        <w:spacing w:line="480" w:lineRule="auto"/>
        <w:ind w:firstLine="0" w:firstLineChars="0"/>
        <w:jc w:val="center"/>
        <w:rPr>
          <w:rFonts w:ascii="Times New Roman" w:hAnsi="Times New Roman" w:cs="Times New Roman"/>
          <w:kern w:val="0"/>
          <w:sz w:val="30"/>
          <w:szCs w:val="30"/>
        </w:rPr>
      </w:pPr>
    </w:p>
    <w:p>
      <w:pPr>
        <w:spacing w:line="480" w:lineRule="auto"/>
        <w:ind w:firstLine="0" w:firstLineChars="0"/>
        <w:jc w:val="left"/>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项目名称：</w:t>
      </w:r>
      <w:r>
        <w:rPr>
          <w:rFonts w:hint="default" w:ascii="Times New Roman" w:hAnsi="Times New Roman" w:eastAsia="方正仿宋_GBK" w:cs="Times New Roman"/>
          <w:sz w:val="32"/>
          <w:szCs w:val="32"/>
        </w:rPr>
        <w:t>乌鲁木齐市松材线虫病等重大林业有害生物防治能力提升工程建设项目。</w:t>
      </w:r>
    </w:p>
    <w:p>
      <w:pPr>
        <w:ind w:firstLine="0" w:firstLineChars="0"/>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项目单位：</w:t>
      </w:r>
      <w:r>
        <w:rPr>
          <w:rFonts w:hint="default" w:ascii="Times New Roman" w:hAnsi="Times New Roman" w:eastAsia="方正仿宋_GBK" w:cs="Times New Roman"/>
          <w:sz w:val="32"/>
          <w:szCs w:val="32"/>
        </w:rPr>
        <w:t>乌鲁木齐市林业有害生物防治检疫站（市草原监理站）</w:t>
      </w:r>
    </w:p>
    <w:p>
      <w:pPr>
        <w:spacing w:line="480" w:lineRule="auto"/>
        <w:ind w:firstLine="0" w:firstLineChars="0"/>
        <w:jc w:val="left"/>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主管部门：</w:t>
      </w:r>
      <w:r>
        <w:rPr>
          <w:rFonts w:hint="default" w:ascii="Times New Roman" w:hAnsi="Times New Roman" w:eastAsia="方正仿宋_GBK" w:cs="Times New Roman"/>
          <w:sz w:val="32"/>
          <w:szCs w:val="32"/>
        </w:rPr>
        <w:t>乌鲁木齐市林业和草原局（市园林管理局）</w:t>
      </w:r>
    </w:p>
    <w:p>
      <w:pPr>
        <w:spacing w:line="480" w:lineRule="auto"/>
        <w:ind w:firstLine="0" w:firstLineChars="0"/>
        <w:jc w:val="left"/>
        <w:rPr>
          <w:rFonts w:hint="default" w:ascii="Times New Roman" w:hAnsi="Times New Roman" w:eastAsia="方正仿宋_GBK" w:cs="Times New Roman"/>
          <w:kern w:val="0"/>
          <w:sz w:val="32"/>
          <w:szCs w:val="32"/>
        </w:rPr>
      </w:pPr>
    </w:p>
    <w:p>
      <w:pPr>
        <w:spacing w:line="480" w:lineRule="auto"/>
        <w:ind w:firstLine="0" w:firstLineChars="0"/>
        <w:rPr>
          <w:rFonts w:hint="default" w:ascii="Times New Roman" w:hAnsi="Times New Roman" w:eastAsia="方正仿宋_GBK" w:cs="Times New Roman"/>
          <w:b/>
          <w:kern w:val="0"/>
          <w:sz w:val="32"/>
          <w:szCs w:val="32"/>
        </w:rPr>
      </w:pPr>
    </w:p>
    <w:p>
      <w:pPr>
        <w:spacing w:line="480" w:lineRule="auto"/>
        <w:ind w:firstLine="0" w:firstLineChars="0"/>
        <w:rPr>
          <w:rFonts w:hint="default" w:ascii="Times New Roman" w:hAnsi="Times New Roman" w:eastAsia="方正仿宋_GBK" w:cs="Times New Roman"/>
          <w:b/>
          <w:kern w:val="0"/>
          <w:sz w:val="32"/>
          <w:szCs w:val="32"/>
        </w:rPr>
      </w:pPr>
    </w:p>
    <w:p>
      <w:pPr>
        <w:spacing w:line="480" w:lineRule="auto"/>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2023年04月</w:t>
      </w:r>
    </w:p>
    <w:p>
      <w:pPr>
        <w:spacing w:line="480" w:lineRule="auto"/>
        <w:ind w:firstLine="0" w:firstLineChars="0"/>
        <w:jc w:val="center"/>
        <w:rPr>
          <w:rFonts w:hint="default" w:ascii="Times New Roman" w:hAnsi="Times New Roman" w:eastAsia="方正仿宋_GBK" w:cs="Times New Roman"/>
          <w:kern w:val="0"/>
          <w:sz w:val="32"/>
          <w:szCs w:val="32"/>
        </w:rPr>
      </w:pPr>
    </w:p>
    <w:p>
      <w:pPr>
        <w:tabs>
          <w:tab w:val="left" w:pos="3324"/>
        </w:tabs>
        <w:spacing w:line="480" w:lineRule="auto"/>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ab/>
      </w:r>
    </w:p>
    <w:p>
      <w:pPr>
        <w:ind w:firstLine="0" w:firstLineChars="0"/>
        <w:rPr>
          <w:rFonts w:hint="default" w:ascii="Times New Roman" w:hAnsi="Times New Roman" w:eastAsia="方正仿宋_GBK" w:cs="Times New Roman"/>
          <w:kern w:val="0"/>
          <w:sz w:val="32"/>
          <w:szCs w:val="32"/>
        </w:rPr>
      </w:pPr>
    </w:p>
    <w:p>
      <w:pPr>
        <w:pStyle w:val="25"/>
        <w:ind w:firstLine="56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zh-CN"/>
        </w:rPr>
        <w:t>目录</w:t>
      </w:r>
    </w:p>
    <w:p>
      <w:pPr>
        <w:pStyle w:val="10"/>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TOC \o "1-3" \h \z \u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"_Toc165277220"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一、基本情况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"_Toc165277221"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（一）项目概况：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"_Toc165277222"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1．项目背景、主要内容及实施情况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"_Toc165277223"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2.资金投入和使用情况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"_Toc165277224"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（二）项目绩效目标：</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0"/>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"_Toc165277225"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二、绩效评价工作开展情况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"_Toc165277226"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（一）绩效评价目的、对象和范围</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"_Toc165277227"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1.绩效评价完整性</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"_Toc165277228"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2.评价目的</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"_Toc165277229"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3.评价对象</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_Toc165277229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"_Toc165277230"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4.绩效评价范围</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"_Toc165277231"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（二）绩效评价原则、指标体系、方法及标准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"_Toc165277232"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1.评价原则</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"_Toc165277233"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2.评价指标体系</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"_Toc165277234"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3.评价方法</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"_Toc165277235"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4.评价标准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14</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"_Toc165277236"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（三）绩效评价工作过程</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0"/>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"_Toc165277237"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三、综合评价情况及评价结论</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"_Toc165277238"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（一）评价结论</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15</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"_Toc165277239"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（二）主要绩效</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_Toc165277239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0"/>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"_Toc165277240"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四、绩效评价指标分析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16</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"_Toc165277241"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（一）项目决策情况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"_Toc165277242"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1.项目立项</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_Toc165277242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"_Toc165277243"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2.绩效目标</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17</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"_Toc165277244"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3.资金投入</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"_Toc165277245"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（二）项目过程情况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"_Toc165277246"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1.资金管理</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18</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"_Toc165277247"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2.组织实施</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"_Toc165277248"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（三）项目产出情况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"_Toc165277249"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1.产出数量</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_Toc165277249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"_Toc165277250"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2.产出质量</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"_Toc165277251"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3.产出时效</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_Toc165277251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"_Toc165277252"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4.产出成本</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t>1</w:t>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"_Toc165277253"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（四）项目效益情况</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_Toc165277253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"_Toc165277254"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1.项目效益</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_Toc165277254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21</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6"/>
        <w:tabs>
          <w:tab w:val="right" w:leader="dot" w:pos="8296"/>
        </w:tabs>
        <w:ind w:left="112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"_Toc165277255"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2. 满意度指标完成情况分析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_Toc165277255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0"/>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"_Toc165277256"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五、主要经验及做法、存在的问题及原因分析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_Toc165277256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"_Toc165277257"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（一）主要经验及做法</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_Toc165277257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22</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2"/>
        <w:tabs>
          <w:tab w:val="right" w:leader="dot" w:pos="8296"/>
        </w:tabs>
        <w:ind w:left="560"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"_Toc165277258"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（二）存在的问题及原因分析</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_Toc165277258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0"/>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"_Toc165277259"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六、有关建议</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_Toc165277259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pStyle w:val="10"/>
        <w:tabs>
          <w:tab w:val="right" w:leader="dot" w:pos="8296"/>
        </w:tabs>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HYPERLINK \l "_Toc165277260" </w:instrText>
      </w:r>
      <w:r>
        <w:rPr>
          <w:rFonts w:hint="default" w:ascii="Times New Roman" w:hAnsi="Times New Roman" w:eastAsia="方正仿宋_GBK" w:cs="Times New Roman"/>
          <w:sz w:val="32"/>
          <w:szCs w:val="32"/>
        </w:rPr>
        <w:fldChar w:fldCharType="separate"/>
      </w:r>
      <w:r>
        <w:rPr>
          <w:rStyle w:val="15"/>
          <w:rFonts w:hint="default" w:ascii="Times New Roman" w:hAnsi="Times New Roman" w:eastAsia="方正仿宋_GBK" w:cs="Times New Roman"/>
          <w:sz w:val="32"/>
          <w:szCs w:val="32"/>
        </w:rPr>
        <w:t>七、其他需要说明的问题</w:t>
      </w:r>
      <w:r>
        <w:rPr>
          <w:rFonts w:hint="default" w:ascii="Times New Roman" w:hAnsi="Times New Roman" w:eastAsia="方正仿宋_GBK" w:cs="Times New Roman"/>
          <w:sz w:val="32"/>
          <w:szCs w:val="32"/>
        </w:rPr>
        <w:tab/>
      </w:r>
      <w:r>
        <w:rPr>
          <w:rFonts w:hint="default" w:ascii="Times New Roman" w:hAnsi="Times New Roman" w:eastAsia="方正仿宋_GBK" w:cs="Times New Roman"/>
          <w:sz w:val="32"/>
          <w:szCs w:val="32"/>
        </w:rPr>
        <w:fldChar w:fldCharType="begin"/>
      </w:r>
      <w:r>
        <w:rPr>
          <w:rFonts w:hint="default" w:ascii="Times New Roman" w:hAnsi="Times New Roman" w:eastAsia="方正仿宋_GBK" w:cs="Times New Roman"/>
          <w:sz w:val="32"/>
          <w:szCs w:val="32"/>
        </w:rPr>
        <w:instrText xml:space="preserve"> PAGEREF _Toc165277260 \h </w:instrText>
      </w:r>
      <w:r>
        <w:rPr>
          <w:rFonts w:hint="default" w:ascii="Times New Roman" w:hAnsi="Times New Roman" w:eastAsia="方正仿宋_GBK" w:cs="Times New Roman"/>
          <w:sz w:val="32"/>
          <w:szCs w:val="32"/>
        </w:rPr>
        <w:fldChar w:fldCharType="separate"/>
      </w:r>
      <w:r>
        <w:rPr>
          <w:rFonts w:hint="default" w:ascii="Times New Roman" w:hAnsi="Times New Roman" w:eastAsia="方正仿宋_GBK" w:cs="Times New Roman"/>
          <w:sz w:val="32"/>
          <w:szCs w:val="32"/>
        </w:rPr>
        <w:t>23</w:t>
      </w:r>
      <w:r>
        <w:rPr>
          <w:rFonts w:hint="default" w:ascii="Times New Roman" w:hAnsi="Times New Roman" w:eastAsia="方正仿宋_GBK" w:cs="Times New Roman"/>
          <w:sz w:val="32"/>
          <w:szCs w:val="32"/>
        </w:rPr>
        <w:fldChar w:fldCharType="end"/>
      </w:r>
      <w:r>
        <w:rPr>
          <w:rFonts w:hint="default" w:ascii="Times New Roman" w:hAnsi="Times New Roman" w:eastAsia="方正仿宋_GBK" w:cs="Times New Roman"/>
          <w:sz w:val="32"/>
          <w:szCs w:val="32"/>
        </w:rPr>
        <w:fldChar w:fldCharType="end"/>
      </w:r>
    </w:p>
    <w:p>
      <w:pPr>
        <w:ind w:firstLine="56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fldChar w:fldCharType="end"/>
      </w:r>
    </w:p>
    <w:p>
      <w:pPr>
        <w:spacing w:line="560" w:lineRule="exact"/>
        <w:ind w:firstLine="598" w:firstLineChars="187"/>
        <w:rPr>
          <w:rFonts w:hint="default" w:ascii="Times New Roman" w:hAnsi="Times New Roman" w:eastAsia="方正仿宋_GBK" w:cs="Times New Roman"/>
          <w:sz w:val="32"/>
          <w:szCs w:val="32"/>
        </w:rPr>
      </w:pPr>
    </w:p>
    <w:p>
      <w:pPr>
        <w:spacing w:line="560" w:lineRule="exact"/>
        <w:ind w:firstLine="598" w:firstLineChars="187"/>
        <w:rPr>
          <w:rFonts w:hint="default" w:ascii="Times New Roman" w:hAnsi="Times New Roman" w:eastAsia="方正仿宋_GBK" w:cs="Times New Roman"/>
          <w:sz w:val="32"/>
          <w:szCs w:val="32"/>
        </w:rPr>
      </w:pPr>
    </w:p>
    <w:p>
      <w:pPr>
        <w:spacing w:line="560" w:lineRule="exact"/>
        <w:ind w:firstLine="0" w:firstLineChars="0"/>
        <w:rPr>
          <w:rFonts w:hint="default" w:ascii="Times New Roman" w:hAnsi="Times New Roman" w:eastAsia="方正仿宋_GBK" w:cs="Times New Roman"/>
          <w:sz w:val="32"/>
          <w:szCs w:val="32"/>
        </w:rPr>
        <w:sectPr>
          <w:headerReference r:id="rId6" w:type="first"/>
          <w:footerReference r:id="rId9" w:type="first"/>
          <w:headerReference r:id="rId4" w:type="default"/>
          <w:footerReference r:id="rId7" w:type="default"/>
          <w:headerReference r:id="rId5" w:type="even"/>
          <w:footerReference r:id="rId8" w:type="even"/>
          <w:pgSz w:w="11906" w:h="16838"/>
          <w:pgMar w:top="1440" w:right="1800" w:bottom="1440" w:left="1800" w:header="851" w:footer="992" w:gutter="0"/>
          <w:cols w:space="425" w:num="1"/>
          <w:docGrid w:type="lines" w:linePitch="312" w:charSpace="0"/>
        </w:sectPr>
      </w:pPr>
    </w:p>
    <w:p>
      <w:pPr>
        <w:pStyle w:val="2"/>
        <w:adjustRightInd w:val="0"/>
        <w:snapToGrid w:val="0"/>
        <w:spacing w:before="0" w:after="0" w:line="560" w:lineRule="exact"/>
        <w:ind w:firstLine="723"/>
        <w:rPr>
          <w:rFonts w:hint="default" w:ascii="Times New Roman" w:hAnsi="Times New Roman" w:eastAsia="方正仿宋_GBK" w:cs="Times New Roman"/>
          <w:sz w:val="32"/>
          <w:szCs w:val="32"/>
        </w:rPr>
      </w:pPr>
      <w:bookmarkStart w:id="0" w:name="_Toc165277220"/>
      <w:bookmarkStart w:id="1" w:name="_Toc67911601"/>
      <w:r>
        <w:rPr>
          <w:rFonts w:hint="default" w:ascii="Times New Roman" w:hAnsi="Times New Roman" w:eastAsia="方正仿宋_GBK" w:cs="Times New Roman"/>
          <w:sz w:val="32"/>
          <w:szCs w:val="32"/>
        </w:rPr>
        <w:t>一、基本情况</w:t>
      </w:r>
      <w:bookmarkEnd w:id="0"/>
      <w:bookmarkEnd w:id="1"/>
    </w:p>
    <w:p>
      <w:pPr>
        <w:pStyle w:val="3"/>
        <w:adjustRightInd w:val="0"/>
        <w:snapToGrid w:val="0"/>
        <w:spacing w:before="0" w:after="0" w:line="560" w:lineRule="exact"/>
        <w:ind w:firstLine="643"/>
        <w:rPr>
          <w:rFonts w:hint="default" w:ascii="Times New Roman" w:hAnsi="Times New Roman" w:eastAsia="方正仿宋_GBK" w:cs="Times New Roman"/>
          <w:sz w:val="32"/>
          <w:szCs w:val="32"/>
        </w:rPr>
      </w:pPr>
      <w:bookmarkStart w:id="2" w:name="_Toc67911602"/>
      <w:bookmarkStart w:id="3" w:name="_Toc165277221"/>
      <w:r>
        <w:rPr>
          <w:rFonts w:hint="default" w:ascii="Times New Roman" w:hAnsi="Times New Roman" w:eastAsia="方正仿宋_GBK" w:cs="Times New Roman"/>
          <w:sz w:val="32"/>
          <w:szCs w:val="32"/>
        </w:rPr>
        <w:t>（一）项目概况：</w:t>
      </w:r>
      <w:bookmarkEnd w:id="2"/>
      <w:bookmarkEnd w:id="3"/>
    </w:p>
    <w:p>
      <w:pPr>
        <w:pStyle w:val="4"/>
        <w:adjustRightInd w:val="0"/>
        <w:snapToGrid w:val="0"/>
        <w:spacing w:before="0" w:after="0" w:line="560" w:lineRule="exact"/>
        <w:ind w:firstLine="643"/>
        <w:rPr>
          <w:rFonts w:hint="default" w:ascii="Times New Roman" w:hAnsi="Times New Roman" w:eastAsia="方正仿宋_GBK" w:cs="Times New Roman"/>
          <w:sz w:val="32"/>
          <w:szCs w:val="32"/>
        </w:rPr>
      </w:pPr>
      <w:bookmarkStart w:id="4" w:name="_Toc165277222"/>
      <w:r>
        <w:rPr>
          <w:rFonts w:hint="default" w:ascii="Times New Roman" w:hAnsi="Times New Roman" w:eastAsia="方正仿宋_GBK" w:cs="Times New Roman"/>
          <w:sz w:val="32"/>
          <w:szCs w:val="32"/>
        </w:rPr>
        <w:t>1．项目背景、主要内容及实施情况</w:t>
      </w:r>
      <w:bookmarkEnd w:id="4"/>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该项目实施背景：</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乌鲁木齐市防控林业有害生物的整体水平和全国相比有待提高，与国家生态建设快速发展的步伐不相称，突出表现在当前林业有害生物防控体系的功能结构严重不足。近年来，国家通过实施主要森林病虫害防控体系基础设施建设一期、续建和二期工程项目，全国形成了较为完善的林业有害生物综合防控体系。和全国一样，新疆于2004年启动了林业有害生物预防体系建设项目，加大基础设施建设力度。自2008年以来，自治区林检局为乌鲁木齐市建立国家级测报中心1个、地州级测报站1个、自治区级测报点2个、自治区级监测点2个，并配备仪器设备，为乌鲁木齐市林业有害生物防控工作奠定了良好基础。</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新疆地大物博，乌鲁木齐又是全疆物流的集散地，距离林业有害生物的发生情况和对外来危险性有害生物的监测预警要求还有很大差距，尚需进一步完善。乌鲁木齐市林业有害生物防控工作主要应加强以下几方面的工作，一是尚需将森林健康的理念贯穿到林业有害生物的防控实践中来，按照生态系统的观点采取营林技术和增强林分抗逆能力的有效措施，改变防控工作经常处于灾后救灾的被动局面；二是加强防控体系基础设施建设。近年来，国家和自治区加大了林业有害生物预防体系基础设施建设的投资力度，但防控体系尚需完善，尤其是检疫除害处理设施、检疫检查站等防范设施严重不足，监测、检疫检验仪器设备以及应急防控所必需的交通工具及药剂、药械等物资储备匮乏，很难满足我市林业有害生物防控工作的实际需要；三是积极推广应用先进的检疫检验和监测技术，及时对危险性有害生物进行检验鉴定，准确掌握控制疫情的最佳时机，避免疫情扩散。监测工作要采用传统的地面调查方式与航空和卫星遥感等先进的监测技术相结合，提高监测覆盖率；四是进一步完善防控体系。在防控体系建设上健全有害生物情报信息传输和GIS信息处理及遥感监测的软硬件平台，实现对航空遥感信息的及时处理，形成对有害生物空中和地面的立体监测，达到对区域内林业有害生物的实时监测预警。建立起林业有害生物鉴定、风险评估、检疫检验信息传送体系。</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为贯彻“预防为主，科学防治，依法监管，强化责任”的工作方针，全面提高对松材线虫等重大林业有害生物的防控和应急救灾能力，迅速遏制松材线虫等重大林业有害生物严重发生的势头，最大限度地减轻危害损失，保护和发展森林资源、保障新时期林业健康、可持续发展和国土生态安全，按照自治区林检局的总体部署，结合乌鲁木齐市林业有害生物发生危害和基础设施建设现状，乌鲁木齐市林业有害生物防治检疫站针对辖区林业有害生物防控的形势和实际情况，进行乌鲁木齐市松材线虫病等重大林业有害生物防治能力提升建设项目的可行性研究，以期项目尽快启动，推进乌鲁木齐市林业有害生物防控工作，使乌鲁木齐林业有害生物防控工作迈上一个新台阶。</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项目2023年的主要实施内容：2023年项目完成全部建设内容，包括建立和完善林业有害生物防治监测预警体系、检疫御灾体系、防治减灾体系和服务保障体系。</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2023年实际完成情况为：2023年完成项目所有设备采购及实验室等改造建设。1、监测预警体系建设建立自治区级测报点1个，购置软件系统和相关设施设备；2、检疫御灾体系建设完成市、县（区）级林业检疫实验室基础设备及外业检疫硬件设备；3、防治减灾体系建设完成专业应急防控队1支并配备相关设施设备；4、服务保障体系建设完成购置标本采集、制作工具及数据处理设备等；5、完成对原有药剂药械库、实验室、标本室改造。</w:t>
      </w:r>
    </w:p>
    <w:p>
      <w:pPr>
        <w:pStyle w:val="4"/>
        <w:adjustRightInd w:val="0"/>
        <w:snapToGrid w:val="0"/>
        <w:spacing w:before="0" w:after="0" w:line="560" w:lineRule="exact"/>
        <w:ind w:firstLine="643"/>
        <w:rPr>
          <w:rFonts w:hint="default" w:ascii="Times New Roman" w:hAnsi="Times New Roman" w:eastAsia="方正仿宋_GBK" w:cs="Times New Roman"/>
          <w:sz w:val="32"/>
          <w:szCs w:val="32"/>
        </w:rPr>
      </w:pPr>
      <w:bookmarkStart w:id="5" w:name="_Toc165277223"/>
      <w:r>
        <w:rPr>
          <w:rFonts w:hint="default" w:ascii="Times New Roman" w:hAnsi="Times New Roman" w:eastAsia="方正仿宋_GBK" w:cs="Times New Roman"/>
          <w:sz w:val="32"/>
          <w:szCs w:val="32"/>
        </w:rPr>
        <w:t>2.资金投入和使用情况</w:t>
      </w:r>
      <w:bookmarkEnd w:id="5"/>
    </w:p>
    <w:p>
      <w:pPr>
        <w:adjustRightInd w:val="0"/>
        <w:snapToGrid w:val="0"/>
        <w:spacing w:line="560" w:lineRule="exact"/>
        <w:ind w:firstLine="640"/>
        <w:rPr>
          <w:rFonts w:hint="default" w:ascii="Times New Roman" w:hAnsi="Times New Roman" w:eastAsia="方正仿宋_GBK" w:cs="Times New Roman"/>
          <w:sz w:val="32"/>
          <w:szCs w:val="32"/>
        </w:rPr>
      </w:pPr>
      <w:bookmarkStart w:id="6" w:name="_Toc67911603"/>
      <w:bookmarkStart w:id="7" w:name="_Toc165277224"/>
      <w:r>
        <w:rPr>
          <w:rFonts w:hint="default" w:ascii="Times New Roman" w:hAnsi="Times New Roman" w:eastAsia="方正仿宋_GBK" w:cs="Times New Roman"/>
          <w:sz w:val="32"/>
          <w:szCs w:val="32"/>
        </w:rPr>
        <w:t>该项目资金投入情况：经乌财建﹝2022﹞194号文件批准，项目系2022年中央预算内资金，共安排预算1359万元，于 2023年初部分预算批复项目。</w:t>
      </w:r>
    </w:p>
    <w:p>
      <w:pPr>
        <w:adjustRightInd w:val="0"/>
        <w:snapToGrid w:val="0"/>
        <w:spacing w:line="560" w:lineRule="exact"/>
        <w:ind w:firstLine="640"/>
        <w:rPr>
          <w:rFonts w:hint="default" w:ascii="Times New Roman" w:hAnsi="Times New Roman" w:eastAsia="方正仿宋_GBK" w:cs="Times New Roman"/>
          <w:color w:val="FF0000"/>
          <w:sz w:val="32"/>
          <w:szCs w:val="32"/>
        </w:rPr>
      </w:pPr>
      <w:r>
        <w:rPr>
          <w:rFonts w:hint="default" w:ascii="Times New Roman" w:hAnsi="Times New Roman" w:eastAsia="方正仿宋_GBK" w:cs="Times New Roman"/>
          <w:sz w:val="32"/>
          <w:szCs w:val="32"/>
        </w:rPr>
        <w:t>该项目资金使用情况：项目总预算1359万元，包括设备采购、实验室改造等及其他费用。其中：设备购置费1241.57万元，占总投资91.36%，已执行完毕，预算执行率为100%；工程费65.29万元，占总投资4.80%，已执行完毕，预算执行率为100%。其他业务服务费为52.15万元，占总投资3.84%，已执行完毕，预算执行率为100%。</w:t>
      </w:r>
    </w:p>
    <w:p>
      <w:pPr>
        <w:pStyle w:val="3"/>
        <w:adjustRightInd w:val="0"/>
        <w:snapToGrid w:val="0"/>
        <w:spacing w:before="0" w:after="0"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（二）项目绩效目标：</w:t>
      </w:r>
      <w:bookmarkEnd w:id="6"/>
      <w:bookmarkEnd w:id="7"/>
    </w:p>
    <w:p>
      <w:pPr>
        <w:adjustRightInd w:val="0"/>
        <w:snapToGrid w:val="0"/>
        <w:spacing w:line="560" w:lineRule="exact"/>
        <w:ind w:firstLine="640"/>
        <w:rPr>
          <w:rFonts w:hint="default" w:ascii="Times New Roman" w:hAnsi="Times New Roman" w:eastAsia="方正仿宋_GBK" w:cs="Times New Roman"/>
          <w:sz w:val="32"/>
          <w:szCs w:val="32"/>
        </w:rPr>
      </w:pPr>
      <w:bookmarkStart w:id="8" w:name="_Toc165277225"/>
      <w:bookmarkStart w:id="9" w:name="_Toc67911604"/>
      <w:r>
        <w:rPr>
          <w:rFonts w:hint="default" w:ascii="Times New Roman" w:hAnsi="Times New Roman" w:eastAsia="方正仿宋_GBK" w:cs="Times New Roman"/>
          <w:sz w:val="32"/>
          <w:szCs w:val="32"/>
        </w:rPr>
        <w:t>本项目依据《中共中央国务院关于全面实施预算绩效管理的意见》（中发〔2018〕34号）、《关于印发＜乌鲁木齐市本级部门预算绩效目标管理暂行办法＞的通知》（乌财预〔2018〕56号）、《关于做好2019年部门预算项目支出绩效目标管理有关事宜的通知》（乌财预〔2018〕76号）和《项目支出绩效评价管理办法》（财预〔2020〕10号）等文件要求，开展绩效管理，按照《自治区发展改革委 林草局关于下达藏粮于地藏粮于技专项（林业草原有害生物防治能力建设项目）2022年中央预算内投资计划的通知》（新发改投资〔2022〕276 号）文件，自治区下达项目绩效目标。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该项目为当年一次性项目。</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总体绩效目标：进一步加强林草有害生物监测预警、检疫御灾、防灾减灾能力建设，外来林业有害生物入侵防范能力和突发林业有害生物灾害应对能力得到提高，重大林业有害生物发生危害的形势进一步遏制，较好提升林草资源安全、国土生态安全的保障能力。</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该项目阶段性目标为：在2023年完成项目全部建设任务，包括监测预警、检疫御灾、防灾减灾能力建设，包括设备采购、实验室等改造。</w:t>
      </w:r>
    </w:p>
    <w:p>
      <w:pPr>
        <w:pStyle w:val="2"/>
        <w:adjustRightInd w:val="0"/>
        <w:snapToGrid w:val="0"/>
        <w:spacing w:before="0" w:after="0" w:line="560" w:lineRule="exact"/>
        <w:ind w:firstLine="723"/>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二、绩效评价工作开展情况</w:t>
      </w:r>
      <w:bookmarkEnd w:id="8"/>
      <w:bookmarkEnd w:id="9"/>
    </w:p>
    <w:p>
      <w:pPr>
        <w:pStyle w:val="3"/>
        <w:adjustRightInd w:val="0"/>
        <w:snapToGrid w:val="0"/>
        <w:spacing w:before="0" w:after="0" w:line="560" w:lineRule="exact"/>
        <w:ind w:firstLine="643"/>
        <w:rPr>
          <w:rFonts w:hint="default" w:ascii="Times New Roman" w:hAnsi="Times New Roman" w:eastAsia="方正仿宋_GBK" w:cs="Times New Roman"/>
          <w:sz w:val="32"/>
          <w:szCs w:val="32"/>
        </w:rPr>
      </w:pPr>
      <w:bookmarkStart w:id="10" w:name="_Toc67911605"/>
      <w:bookmarkStart w:id="11" w:name="_Toc165277226"/>
      <w:r>
        <w:rPr>
          <w:rFonts w:hint="default" w:ascii="Times New Roman" w:hAnsi="Times New Roman" w:eastAsia="方正仿宋_GBK" w:cs="Times New Roman"/>
          <w:sz w:val="32"/>
          <w:szCs w:val="32"/>
        </w:rPr>
        <w:t>（一）绩效评价目的、对象和范围</w:t>
      </w:r>
      <w:bookmarkEnd w:id="10"/>
      <w:bookmarkEnd w:id="11"/>
    </w:p>
    <w:p>
      <w:pPr>
        <w:pStyle w:val="4"/>
        <w:adjustRightInd w:val="0"/>
        <w:snapToGrid w:val="0"/>
        <w:spacing w:before="0" w:after="0" w:line="560" w:lineRule="exact"/>
        <w:ind w:firstLine="643"/>
        <w:rPr>
          <w:rFonts w:hint="default" w:ascii="Times New Roman" w:hAnsi="Times New Roman" w:eastAsia="方正仿宋_GBK" w:cs="Times New Roman"/>
          <w:sz w:val="32"/>
          <w:szCs w:val="32"/>
        </w:rPr>
      </w:pPr>
      <w:bookmarkStart w:id="12" w:name="_Toc165277227"/>
      <w:r>
        <w:rPr>
          <w:rFonts w:hint="default" w:ascii="Times New Roman" w:hAnsi="Times New Roman" w:eastAsia="方正仿宋_GBK" w:cs="Times New Roman"/>
          <w:sz w:val="32"/>
          <w:szCs w:val="32"/>
        </w:rPr>
        <w:t>1.绩效评价完整性</w:t>
      </w:r>
      <w:bookmarkEnd w:id="12"/>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为病虫害防治能力基础建设项目，主要以配备设备，改造原有实验室为建设内容，绩效目标中设置采购设备合格率、建设项目验收合格率、项目建设期限和按期完成率为绩效指标，能够完整体现项目建设进度及建设质量。</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本项目按照市发改委批复的初步设计开展建设工作，所有建设进度均按照计划进行，2023年完成项目全部建设内容。</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项目评价数据基于已完成建设内容，设备验收合格率以监理单位提供的验收报告作为依据。项目2023年完成全部建设内容，项目资金全部支付完成。</w:t>
      </w:r>
    </w:p>
    <w:p>
      <w:pPr>
        <w:pStyle w:val="4"/>
        <w:adjustRightInd w:val="0"/>
        <w:snapToGrid w:val="0"/>
        <w:spacing w:before="0" w:after="0" w:line="560" w:lineRule="exact"/>
        <w:ind w:firstLine="643"/>
        <w:rPr>
          <w:rFonts w:hint="default" w:ascii="Times New Roman" w:hAnsi="Times New Roman" w:eastAsia="方正仿宋_GBK" w:cs="Times New Roman"/>
          <w:sz w:val="32"/>
          <w:szCs w:val="32"/>
        </w:rPr>
      </w:pPr>
      <w:bookmarkStart w:id="13" w:name="_Toc165277228"/>
      <w:r>
        <w:rPr>
          <w:rFonts w:hint="default" w:ascii="Times New Roman" w:hAnsi="Times New Roman" w:eastAsia="方正仿宋_GBK" w:cs="Times New Roman"/>
          <w:sz w:val="32"/>
          <w:szCs w:val="32"/>
        </w:rPr>
        <w:t>2.评价目的</w:t>
      </w:r>
      <w:bookmarkEnd w:id="13"/>
    </w:p>
    <w:p>
      <w:pPr>
        <w:adjustRightInd w:val="0"/>
        <w:snapToGrid w:val="0"/>
        <w:spacing w:line="560" w:lineRule="exact"/>
        <w:ind w:firstLine="640"/>
        <w:rPr>
          <w:rFonts w:hint="default" w:ascii="Times New Roman" w:hAnsi="Times New Roman" w:eastAsia="方正仿宋_GBK" w:cs="Times New Roman"/>
          <w:b/>
          <w:bCs/>
          <w:sz w:val="32"/>
          <w:szCs w:val="32"/>
        </w:rPr>
      </w:pPr>
      <w:r>
        <w:rPr>
          <w:rFonts w:hint="default" w:ascii="Times New Roman" w:hAnsi="Times New Roman" w:eastAsia="方正仿宋_GBK" w:cs="Times New Roman"/>
          <w:sz w:val="32"/>
          <w:szCs w:val="32"/>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鲁木齐市松材线虫病等重大林业有害生物防治能力提升工程建设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adjustRightInd w:val="0"/>
        <w:snapToGrid w:val="0"/>
        <w:spacing w:before="0" w:after="0" w:line="560" w:lineRule="exact"/>
        <w:ind w:firstLine="643"/>
        <w:rPr>
          <w:rFonts w:hint="default" w:ascii="Times New Roman" w:hAnsi="Times New Roman" w:eastAsia="方正仿宋_GBK" w:cs="Times New Roman"/>
          <w:sz w:val="32"/>
          <w:szCs w:val="32"/>
        </w:rPr>
      </w:pPr>
      <w:bookmarkStart w:id="14" w:name="_Toc165277229"/>
      <w:r>
        <w:rPr>
          <w:rFonts w:hint="default" w:ascii="Times New Roman" w:hAnsi="Times New Roman" w:eastAsia="方正仿宋_GBK" w:cs="Times New Roman"/>
          <w:sz w:val="32"/>
          <w:szCs w:val="32"/>
        </w:rPr>
        <w:t>3.评价对象</w:t>
      </w:r>
      <w:bookmarkEnd w:id="14"/>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（1）绩效评价的对象：乌鲁木齐市松材线虫病等重大林业有害生物防治能力提升工程建设项目</w:t>
      </w:r>
    </w:p>
    <w:p>
      <w:pPr>
        <w:pStyle w:val="4"/>
        <w:adjustRightInd w:val="0"/>
        <w:snapToGrid w:val="0"/>
        <w:spacing w:before="0" w:after="0" w:line="560" w:lineRule="exact"/>
        <w:ind w:firstLine="643"/>
        <w:rPr>
          <w:rFonts w:hint="default" w:ascii="Times New Roman" w:hAnsi="Times New Roman" w:eastAsia="方正仿宋_GBK" w:cs="Times New Roman"/>
          <w:sz w:val="32"/>
          <w:szCs w:val="32"/>
        </w:rPr>
      </w:pPr>
      <w:bookmarkStart w:id="15" w:name="_Toc165277230"/>
      <w:r>
        <w:rPr>
          <w:rFonts w:hint="default" w:ascii="Times New Roman" w:hAnsi="Times New Roman" w:eastAsia="方正仿宋_GBK" w:cs="Times New Roman"/>
          <w:sz w:val="32"/>
          <w:szCs w:val="32"/>
        </w:rPr>
        <w:t>4.绩效评价范围</w:t>
      </w:r>
      <w:bookmarkEnd w:id="15"/>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1.时间范围：2023年1月1日至2023年12月31日。</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项目范围：乌鲁木齐市松材线虫病等重大林业有害生物防治能力提升工程建设项目2023年完成全部建设内容，所有设备采购到位，实验室等改造工程完成全部建设，所有项目资金完成支付。项目按照自治区林草局、市财政局的相关要求开展评价工作，包括阶段性评价和年终评价。项目建设完成能够全面提升我市应对林业有害生物灾害时的能力，防治设备配备到位，病虫害防治能力得到提高，病虫害监测平台建设完成，病虫害发生的监测能力有效提升。项目建设达到设计目标。</w:t>
      </w:r>
    </w:p>
    <w:p>
      <w:pPr>
        <w:pStyle w:val="3"/>
        <w:adjustRightInd w:val="0"/>
        <w:snapToGrid w:val="0"/>
        <w:spacing w:before="0" w:after="0" w:line="560" w:lineRule="exact"/>
        <w:ind w:firstLine="643"/>
        <w:rPr>
          <w:rFonts w:hint="default" w:ascii="Times New Roman" w:hAnsi="Times New Roman" w:eastAsia="方正仿宋_GBK" w:cs="Times New Roman"/>
          <w:sz w:val="32"/>
          <w:szCs w:val="32"/>
        </w:rPr>
      </w:pPr>
      <w:bookmarkStart w:id="16" w:name="_Toc67911606"/>
      <w:bookmarkStart w:id="17" w:name="_Toc165277231"/>
      <w:bookmarkStart w:id="18" w:name="_Hlk67586765"/>
      <w:r>
        <w:rPr>
          <w:rFonts w:hint="default" w:ascii="Times New Roman" w:hAnsi="Times New Roman" w:eastAsia="方正仿宋_GBK" w:cs="Times New Roman"/>
          <w:sz w:val="32"/>
          <w:szCs w:val="32"/>
        </w:rPr>
        <w:t>（二）绩效评价原则、指标体系、方法及标准</w:t>
      </w:r>
      <w:bookmarkEnd w:id="16"/>
      <w:bookmarkEnd w:id="17"/>
    </w:p>
    <w:bookmarkEnd w:id="18"/>
    <w:p>
      <w:pPr>
        <w:pStyle w:val="4"/>
        <w:adjustRightInd w:val="0"/>
        <w:snapToGrid w:val="0"/>
        <w:spacing w:before="0" w:after="0" w:line="560" w:lineRule="exact"/>
        <w:ind w:firstLine="643"/>
        <w:rPr>
          <w:rFonts w:hint="default" w:ascii="Times New Roman" w:hAnsi="Times New Roman" w:eastAsia="方正仿宋_GBK" w:cs="Times New Roman"/>
          <w:sz w:val="32"/>
          <w:szCs w:val="32"/>
        </w:rPr>
      </w:pPr>
      <w:bookmarkStart w:id="19" w:name="_Toc165277232"/>
      <w:r>
        <w:rPr>
          <w:rFonts w:hint="default" w:ascii="Times New Roman" w:hAnsi="Times New Roman" w:eastAsia="方正仿宋_GBK" w:cs="Times New Roman"/>
          <w:sz w:val="32"/>
          <w:szCs w:val="32"/>
        </w:rPr>
        <w:t>1.评价原则</w:t>
      </w:r>
      <w:bookmarkEnd w:id="19"/>
    </w:p>
    <w:p>
      <w:pPr>
        <w:adjustRightInd w:val="0"/>
        <w:snapToGrid w:val="0"/>
        <w:spacing w:line="56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（一）科学公正。绩效评价应当运用科学合理的方法，按照规范的程序，对项目绩效进行客观、公正的反映。</w:t>
      </w:r>
    </w:p>
    <w:p>
      <w:pPr>
        <w:adjustRightInd w:val="0"/>
        <w:snapToGrid w:val="0"/>
        <w:spacing w:line="56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adjustRightInd w:val="0"/>
        <w:snapToGrid w:val="0"/>
        <w:spacing w:line="56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（三）激励约束。绩效评价结果应与预算安排、政策调整、改进管理实质性挂钩，体现奖优罚劣和激励相容导向，有效要安排、低效要压减、无效要问责。</w:t>
      </w:r>
    </w:p>
    <w:p>
      <w:pPr>
        <w:adjustRightInd w:val="0"/>
        <w:snapToGrid w:val="0"/>
        <w:spacing w:line="56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（四）公开透明。绩效评价结果应依法依规公开，并自觉接受社会监督。</w:t>
      </w:r>
    </w:p>
    <w:p>
      <w:pPr>
        <w:pStyle w:val="4"/>
        <w:adjustRightInd w:val="0"/>
        <w:snapToGrid w:val="0"/>
        <w:spacing w:before="0" w:after="0" w:line="560" w:lineRule="exact"/>
        <w:ind w:firstLine="643"/>
        <w:rPr>
          <w:rFonts w:hint="default" w:ascii="Times New Roman" w:hAnsi="Times New Roman" w:eastAsia="方正仿宋_GBK" w:cs="Times New Roman"/>
          <w:sz w:val="32"/>
          <w:szCs w:val="32"/>
        </w:rPr>
      </w:pPr>
      <w:bookmarkStart w:id="20" w:name="_Toc165277233"/>
      <w:r>
        <w:rPr>
          <w:rFonts w:hint="default" w:ascii="Times New Roman" w:hAnsi="Times New Roman" w:eastAsia="方正仿宋_GBK" w:cs="Times New Roman"/>
          <w:sz w:val="32"/>
          <w:szCs w:val="32"/>
        </w:rPr>
        <w:t>2.评价指标体系</w:t>
      </w:r>
      <w:bookmarkEnd w:id="20"/>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绩效评价指标体系作为衡量绩效目标实现程度的考核工具，一般遵循以下原则：</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（1）相关性原则：绩效评价指标应当与绩效目标有直接的联系，能够恰当反映目标的实现程度。</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（2）重要性原则：应当优先使用最具评价对象代表性、最能反映评价要求的核心指标。</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（3）可比性原则：对同类评价对象要设定共性的绩效评价指标，以便于评价结果可以相互比较。</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（4）系统性原则：绩效评价指标的设置应当将定量指标与定性指标相结合，能系统反映财政支出所产生的社会效益、经济效益和可持续影响等。</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（5）经济性原则：绩效评价指标设计应当通俗易懂、简便易行，数据的获得应当考虑现实条件和可操作性，符合成本效益原则。</w:t>
      </w:r>
    </w:p>
    <w:p>
      <w:pPr>
        <w:adjustRightInd w:val="0"/>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本项目的评价指标体系建立如下表所示。</w:t>
      </w:r>
    </w:p>
    <w:p>
      <w:pPr>
        <w:spacing w:line="360" w:lineRule="auto"/>
        <w:ind w:firstLine="0" w:firstLineChars="0"/>
        <w:rPr>
          <w:rFonts w:hint="default" w:ascii="Times New Roman" w:hAnsi="Times New Roman" w:eastAsia="方正仿宋_GBK" w:cs="Times New Roman"/>
          <w:sz w:val="32"/>
          <w:szCs w:val="32"/>
        </w:rPr>
        <w:sectPr>
          <w:headerReference r:id="rId10" w:type="default"/>
          <w:footerReference r:id="rId11"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 xml:space="preserve">  项目支出绩效评价指标体系</w:t>
      </w:r>
    </w:p>
    <w:tbl>
      <w:tblPr>
        <w:tblStyle w:val="13"/>
        <w:tblW w:w="1389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1155" w:type="dxa"/>
            <w:shd w:val="clear" w:color="auto" w:fill="D0CECE"/>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一级指标</w:t>
            </w:r>
          </w:p>
        </w:tc>
        <w:tc>
          <w:tcPr>
            <w:tcW w:w="1199" w:type="dxa"/>
            <w:shd w:val="clear" w:color="auto" w:fill="D0CECE"/>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二级指标</w:t>
            </w:r>
          </w:p>
        </w:tc>
        <w:tc>
          <w:tcPr>
            <w:tcW w:w="1411" w:type="dxa"/>
            <w:shd w:val="clear" w:color="auto" w:fill="D0CECE"/>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三级指标</w:t>
            </w:r>
          </w:p>
        </w:tc>
        <w:tc>
          <w:tcPr>
            <w:tcW w:w="2789" w:type="dxa"/>
            <w:shd w:val="clear" w:color="auto" w:fill="D0CECE"/>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指标解释</w:t>
            </w:r>
          </w:p>
        </w:tc>
        <w:tc>
          <w:tcPr>
            <w:tcW w:w="7341" w:type="dxa"/>
            <w:shd w:val="clear" w:color="auto" w:fill="D0CECE"/>
            <w:vAlign w:val="center"/>
          </w:tcPr>
          <w:p>
            <w:pPr>
              <w:widowControl/>
              <w:ind w:firstLine="0" w:firstLineChars="0"/>
              <w:jc w:val="center"/>
              <w:rPr>
                <w:rFonts w:hint="default" w:ascii="Times New Roman" w:hAnsi="Times New Roman" w:eastAsia="方正仿宋_GBK" w:cs="Times New Roman"/>
                <w:b/>
                <w:bCs/>
                <w:color w:val="000000"/>
                <w:kern w:val="0"/>
                <w:sz w:val="32"/>
                <w:szCs w:val="32"/>
              </w:rPr>
            </w:pPr>
            <w:r>
              <w:rPr>
                <w:rFonts w:hint="default" w:ascii="Times New Roman" w:hAnsi="Times New Roman" w:eastAsia="方正仿宋_GBK" w:cs="Times New Roman"/>
                <w:b/>
                <w:bCs/>
                <w:color w:val="000000"/>
                <w:kern w:val="0"/>
                <w:sz w:val="32"/>
                <w:szCs w:val="32"/>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115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决策</w:t>
            </w:r>
          </w:p>
        </w:tc>
        <w:tc>
          <w:tcPr>
            <w:tcW w:w="1199"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项目立项</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立项依据</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充分性</w:t>
            </w:r>
          </w:p>
        </w:tc>
        <w:tc>
          <w:tcPr>
            <w:tcW w:w="2789" w:type="dxa"/>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项目立项是否符合法律法规、相关政策、发展规划以及部门职责，用以反映和考核项目立项依据情况。</w:t>
            </w:r>
          </w:p>
        </w:tc>
        <w:tc>
          <w:tcPr>
            <w:tcW w:w="7341" w:type="dxa"/>
            <w:shd w:val="clear" w:color="auto"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①项目立项是否符合国家法律法规、国民经济发展规划和相关政策；</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②项目立项是否符合行业发展规划和政策要求；</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③项目立项是否与部门职责范围相符，属于部门履职所需；</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④项目是否属于公共财政支持范围，是否符合中央、地方事权支出责任划分原则；</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1155" w:type="dxa"/>
            <w:vMerge w:val="continue"/>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立项程序</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规范性</w:t>
            </w:r>
          </w:p>
        </w:tc>
        <w:tc>
          <w:tcPr>
            <w:tcW w:w="2789" w:type="dxa"/>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项目申请、设立过程是否符合相关要求，用以反映和考核项目立项的规范情况。</w:t>
            </w:r>
          </w:p>
        </w:tc>
        <w:tc>
          <w:tcPr>
            <w:tcW w:w="7341" w:type="dxa"/>
            <w:shd w:val="clear" w:color="auto"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①项目是否按照规定的程序申请设立；</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②审批文件、材料是否符合相关要求；</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1155" w:type="dxa"/>
            <w:vMerge w:val="continue"/>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合理性</w:t>
            </w:r>
          </w:p>
        </w:tc>
        <w:tc>
          <w:tcPr>
            <w:tcW w:w="2789"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项目所设定的绩效目标是否依据充分，是否符合客观实际，用以反映和考核项目绩效目标与项目实施的相符情况。</w:t>
            </w:r>
          </w:p>
        </w:tc>
        <w:tc>
          <w:tcPr>
            <w:tcW w:w="7341" w:type="dxa"/>
            <w:shd w:val="clear" w:color="000000" w:fill="FFFFFF"/>
            <w:vAlign w:val="center"/>
          </w:tcPr>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（如未设定预算绩效目标，也可考核其他工作任务目标）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①项目是否有绩效目标；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②项目绩效目标与实际工作内容是否具有相关性；</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③项目预期产出效益和效果是否符合正常的业绩水平；</w:t>
            </w:r>
          </w:p>
          <w:p>
            <w:pPr>
              <w:widowControl/>
              <w:ind w:firstLine="0" w:firstLineChars="0"/>
              <w:jc w:val="left"/>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15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决策</w:t>
            </w:r>
          </w:p>
        </w:tc>
        <w:tc>
          <w:tcPr>
            <w:tcW w:w="1199"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绩效目标</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绩效指标</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明确性</w:t>
            </w:r>
          </w:p>
        </w:tc>
        <w:tc>
          <w:tcPr>
            <w:tcW w:w="2789"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依据绩效目标设定的绩效指标是否清晰、细化、可衡量等，用以反映和考核项目绩效目标的明细化情况。</w:t>
            </w:r>
          </w:p>
        </w:tc>
        <w:tc>
          <w:tcPr>
            <w:tcW w:w="7341"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①是否将项目绩效目标细化分解为具体的绩效指标；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②是否通过清晰、可衡量的指标值予以体现；</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③是否与项目目标任务数或计划数相对应。</w:t>
            </w:r>
            <w:r>
              <w:rPr>
                <w:rFonts w:hint="default" w:ascii="Times New Roman" w:hAnsi="Times New Roman" w:eastAsia="方正仿宋_GBK" w:cs="Times New Roman"/>
                <w:color w:val="000000"/>
                <w:kern w:val="0"/>
                <w:sz w:val="32"/>
                <w:szCs w:val="32"/>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155" w:type="dxa"/>
            <w:vMerge w:val="continue"/>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资金投入</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预算编制</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科学性</w:t>
            </w:r>
          </w:p>
        </w:tc>
        <w:tc>
          <w:tcPr>
            <w:tcW w:w="2789" w:type="dxa"/>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项目预算编制是否经过科学论证、有明确标准，资金额度与年度目标是否相适应，用以反映和考核项目预算编制的科学性、合理性情况。</w:t>
            </w:r>
          </w:p>
        </w:tc>
        <w:tc>
          <w:tcPr>
            <w:tcW w:w="7341" w:type="dxa"/>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①预算编制是否经过科学论证；</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②预算内容与项目内容是否匹配；</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③预算额度测算依据是否充分，是否按照标准编制；</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15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资金分配</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合理性</w:t>
            </w:r>
          </w:p>
        </w:tc>
        <w:tc>
          <w:tcPr>
            <w:tcW w:w="2789" w:type="dxa"/>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项目预算资金分配是否有测算依据，与补助单位或地方实际是否相适应，用以反映和考核项目预算资金分配的科学性、合理性情况。</w:t>
            </w:r>
          </w:p>
        </w:tc>
        <w:tc>
          <w:tcPr>
            <w:tcW w:w="7341" w:type="dxa"/>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①预算资金分配依据是否充分；</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155" w:type="dxa"/>
            <w:vMerge w:val="restart"/>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过程</w:t>
            </w:r>
          </w:p>
        </w:tc>
        <w:tc>
          <w:tcPr>
            <w:tcW w:w="1199"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资金管理</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资金到位率</w:t>
            </w:r>
          </w:p>
        </w:tc>
        <w:tc>
          <w:tcPr>
            <w:tcW w:w="2789"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实际到位资金与预算资金的比率，用以反映和考核资金落实情况对项目实施的总体保障程度。</w:t>
            </w:r>
          </w:p>
        </w:tc>
        <w:tc>
          <w:tcPr>
            <w:tcW w:w="7341"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资金到位率=（实际到位资金/预算资金）×100%。</w:t>
            </w:r>
          </w:p>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实际到位资金：一定时期（本年度或项目期）内落实到具体项目的资金。</w:t>
            </w:r>
          </w:p>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155" w:type="dxa"/>
            <w:vMerge w:val="continue"/>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预算执行率</w:t>
            </w:r>
          </w:p>
        </w:tc>
        <w:tc>
          <w:tcPr>
            <w:tcW w:w="2789" w:type="dxa"/>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项目预算资金是否按照计划执行，用以反映或考核项目预算执行情况。</w:t>
            </w:r>
          </w:p>
        </w:tc>
        <w:tc>
          <w:tcPr>
            <w:tcW w:w="7341" w:type="dxa"/>
            <w:shd w:val="clear" w:color="auto"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预算执行率=（实际支出资金/实际到位资金）×100%。</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155" w:type="dxa"/>
            <w:vMerge w:val="restart"/>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过程</w:t>
            </w:r>
          </w:p>
        </w:tc>
        <w:tc>
          <w:tcPr>
            <w:tcW w:w="1199"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资金管理</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资金使用</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合规性</w:t>
            </w:r>
          </w:p>
        </w:tc>
        <w:tc>
          <w:tcPr>
            <w:tcW w:w="2789"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项目资金使用是否符合相关的财务管理制度规定，用以反映和考核项目资金的规范运行情况。</w:t>
            </w:r>
          </w:p>
        </w:tc>
        <w:tc>
          <w:tcPr>
            <w:tcW w:w="7341"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①是否符合国家财经法规和财务管理制度以及有关专项资金管理办法的规定；</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②资金的拨付是否有完整的审批程序和手续；</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③是否符合项目预算批复或合同规定的用途；</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155" w:type="dxa"/>
            <w:vMerge w:val="continue"/>
            <w:shd w:val="clear" w:color="auto" w:fill="FFFFFF"/>
            <w:vAlign w:val="center"/>
          </w:tcPr>
          <w:p>
            <w:pPr>
              <w:ind w:firstLine="0" w:firstLineChars="0"/>
              <w:jc w:val="center"/>
              <w:rPr>
                <w:rFonts w:hint="default" w:ascii="Times New Roman" w:hAnsi="Times New Roman" w:eastAsia="方正仿宋_GBK" w:cs="Times New Roman"/>
                <w:color w:val="000000"/>
                <w:kern w:val="0"/>
                <w:sz w:val="32"/>
                <w:szCs w:val="32"/>
              </w:rPr>
            </w:pPr>
          </w:p>
        </w:tc>
        <w:tc>
          <w:tcPr>
            <w:tcW w:w="1199"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组织实施</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管理制度</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健全性</w:t>
            </w:r>
          </w:p>
        </w:tc>
        <w:tc>
          <w:tcPr>
            <w:tcW w:w="2789"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项目实施单位的财务和业务管理制度是否健全，用以反映和考核财务和业务管理制度对项目顺利实施的保障情况。</w:t>
            </w:r>
          </w:p>
        </w:tc>
        <w:tc>
          <w:tcPr>
            <w:tcW w:w="7341"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①是否已制定或具有相应的财务和业务管理制度；</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15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199"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制度执行</w:t>
            </w:r>
          </w:p>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有效性</w:t>
            </w:r>
          </w:p>
        </w:tc>
        <w:tc>
          <w:tcPr>
            <w:tcW w:w="2789"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项目实施是否符合相关管理规定，用以反映和考核相关管理制度的有效执行情况。</w:t>
            </w:r>
          </w:p>
        </w:tc>
        <w:tc>
          <w:tcPr>
            <w:tcW w:w="7341" w:type="dxa"/>
            <w:shd w:val="clear" w:color="000000" w:fill="FFFFFF"/>
            <w:vAlign w:val="center"/>
          </w:tcPr>
          <w:p>
            <w:pPr>
              <w:widowControl/>
              <w:ind w:firstLine="0" w:firstLineChars="0"/>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评价要点：</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①是否遵守相关法律法规和相关管理规定；</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②项目调整及支出调整手续是否完备；</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③项目合同书、验收报告、技术鉴定等资料是否齐全并及时归档；</w:t>
            </w:r>
            <w:r>
              <w:rPr>
                <w:rFonts w:hint="default" w:ascii="Times New Roman" w:hAnsi="Times New Roman" w:eastAsia="方正仿宋_GBK" w:cs="Times New Roman"/>
                <w:color w:val="000000"/>
                <w:kern w:val="0"/>
                <w:sz w:val="32"/>
                <w:szCs w:val="32"/>
              </w:rPr>
              <w:br w:type="textWrapping"/>
            </w:r>
            <w:r>
              <w:rPr>
                <w:rFonts w:hint="default" w:ascii="Times New Roman" w:hAnsi="Times New Roman" w:eastAsia="方正仿宋_GBK" w:cs="Times New Roman"/>
                <w:color w:val="000000"/>
                <w:kern w:val="0"/>
                <w:sz w:val="32"/>
                <w:szCs w:val="32"/>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65" w:hRule="atLeast"/>
          <w:jc w:val="center"/>
        </w:trPr>
        <w:tc>
          <w:tcPr>
            <w:tcW w:w="1155"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w:t>
            </w:r>
          </w:p>
        </w:tc>
        <w:tc>
          <w:tcPr>
            <w:tcW w:w="119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产出数量</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支持项目数量</w:t>
            </w:r>
          </w:p>
        </w:tc>
        <w:tc>
          <w:tcPr>
            <w:tcW w:w="2789" w:type="dxa"/>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项目实施的实际产出数与计划产出数的比率，用以反映和考核项目产出数量目标的实现程度。</w:t>
            </w:r>
          </w:p>
        </w:tc>
        <w:tc>
          <w:tcPr>
            <w:tcW w:w="7341" w:type="dxa"/>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实际完成率=（实际产出数/计划产出数）×100%。</w:t>
            </w:r>
            <w:r>
              <w:rPr>
                <w:rFonts w:hint="default" w:ascii="Times New Roman" w:hAnsi="Times New Roman" w:eastAsia="方正仿宋_GBK" w:cs="Times New Roman"/>
                <w:kern w:val="0"/>
                <w:sz w:val="32"/>
                <w:szCs w:val="32"/>
              </w:rPr>
              <w:br w:type="textWrapping"/>
            </w:r>
            <w:r>
              <w:rPr>
                <w:rFonts w:hint="default" w:ascii="Times New Roman" w:hAnsi="Times New Roman" w:eastAsia="方正仿宋_GBK" w:cs="Times New Roman"/>
                <w:kern w:val="0"/>
                <w:sz w:val="32"/>
                <w:szCs w:val="32"/>
              </w:rPr>
              <w:t>实际产出数：一定时期（本年度或项目期）内项目实际产出的产品或提供的服务数量。</w:t>
            </w:r>
            <w:r>
              <w:rPr>
                <w:rFonts w:hint="default" w:ascii="Times New Roman" w:hAnsi="Times New Roman" w:eastAsia="方正仿宋_GBK" w:cs="Times New Roman"/>
                <w:kern w:val="0"/>
                <w:sz w:val="32"/>
                <w:szCs w:val="32"/>
              </w:rPr>
              <w:br w:type="textWrapping"/>
            </w:r>
            <w:r>
              <w:rPr>
                <w:rFonts w:hint="default" w:ascii="Times New Roman" w:hAnsi="Times New Roman" w:eastAsia="方正仿宋_GBK" w:cs="Times New Roman"/>
                <w:kern w:val="0"/>
                <w:sz w:val="32"/>
                <w:szCs w:val="32"/>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49" w:hRule="atLeast"/>
          <w:jc w:val="center"/>
        </w:trPr>
        <w:tc>
          <w:tcPr>
            <w:tcW w:w="115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w:t>
            </w:r>
          </w:p>
        </w:tc>
        <w:tc>
          <w:tcPr>
            <w:tcW w:w="1199"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产出质量</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采购设备合格率（%）</w:t>
            </w:r>
          </w:p>
        </w:tc>
        <w:tc>
          <w:tcPr>
            <w:tcW w:w="2789" w:type="dxa"/>
            <w:vMerge w:val="restart"/>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项目完成的质量达标产出数与实际产出数的比率，用以反映和考核项目产出质量目标的实现程度。</w:t>
            </w:r>
          </w:p>
        </w:tc>
        <w:tc>
          <w:tcPr>
            <w:tcW w:w="7341" w:type="dxa"/>
            <w:vMerge w:val="restart"/>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质量达标率=（质量达标产出数/实际产出数）×100%。</w:t>
            </w:r>
          </w:p>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49" w:hRule="atLeast"/>
          <w:jc w:val="center"/>
        </w:trPr>
        <w:tc>
          <w:tcPr>
            <w:tcW w:w="115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sz w:val="32"/>
                <w:szCs w:val="32"/>
              </w:rPr>
            </w:pPr>
          </w:p>
        </w:tc>
        <w:tc>
          <w:tcPr>
            <w:tcW w:w="1199"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sz w:val="32"/>
                <w:szCs w:val="32"/>
              </w:rPr>
            </w:pP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建设项目验收合格率</w:t>
            </w:r>
          </w:p>
        </w:tc>
        <w:tc>
          <w:tcPr>
            <w:tcW w:w="2789" w:type="dxa"/>
            <w:vMerge w:val="continue"/>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highlight w:val="yellow"/>
              </w:rPr>
            </w:pPr>
          </w:p>
        </w:tc>
        <w:tc>
          <w:tcPr>
            <w:tcW w:w="7341" w:type="dxa"/>
            <w:vMerge w:val="continue"/>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highlight w:val="yellow"/>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60" w:hRule="atLeast"/>
          <w:jc w:val="center"/>
        </w:trPr>
        <w:tc>
          <w:tcPr>
            <w:tcW w:w="1155"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199" w:type="dxa"/>
            <w:vMerge w:val="restart"/>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产出时效</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项目建设期限</w:t>
            </w:r>
          </w:p>
        </w:tc>
        <w:tc>
          <w:tcPr>
            <w:tcW w:w="2789" w:type="dxa"/>
            <w:vMerge w:val="restart"/>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项目实际完成时间与计划完成时间的比较，用以反映和考核项目产出时效目标的实现程度。</w:t>
            </w:r>
          </w:p>
        </w:tc>
        <w:tc>
          <w:tcPr>
            <w:tcW w:w="7341" w:type="dxa"/>
            <w:vMerge w:val="restart"/>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实际完成时间：项目实施单位完成该项目实际所耗用的时间。</w:t>
            </w:r>
            <w:r>
              <w:rPr>
                <w:rFonts w:hint="default" w:ascii="Times New Roman" w:hAnsi="Times New Roman" w:eastAsia="方正仿宋_GBK" w:cs="Times New Roman"/>
                <w:kern w:val="0"/>
                <w:sz w:val="32"/>
                <w:szCs w:val="32"/>
              </w:rPr>
              <w:br w:type="textWrapping"/>
            </w:r>
            <w:r>
              <w:rPr>
                <w:rFonts w:hint="default" w:ascii="Times New Roman" w:hAnsi="Times New Roman" w:eastAsia="方正仿宋_GBK" w:cs="Times New Roman"/>
                <w:kern w:val="0"/>
                <w:sz w:val="32"/>
                <w:szCs w:val="32"/>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60" w:hRule="atLeast"/>
          <w:jc w:val="center"/>
        </w:trPr>
        <w:tc>
          <w:tcPr>
            <w:tcW w:w="1155"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199"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项目建设按期完成率</w:t>
            </w:r>
          </w:p>
        </w:tc>
        <w:tc>
          <w:tcPr>
            <w:tcW w:w="2789" w:type="dxa"/>
            <w:vMerge w:val="continue"/>
            <w:shd w:val="clear" w:color="000000" w:fill="FFFFFF"/>
            <w:vAlign w:val="center"/>
          </w:tcPr>
          <w:p>
            <w:pPr>
              <w:widowControl/>
              <w:ind w:firstLine="0" w:firstLineChars="0"/>
              <w:rPr>
                <w:rFonts w:hint="default" w:ascii="Times New Roman" w:hAnsi="Times New Roman" w:eastAsia="方正仿宋_GBK" w:cs="Times New Roman"/>
                <w:color w:val="FF0000"/>
                <w:kern w:val="0"/>
                <w:sz w:val="32"/>
                <w:szCs w:val="32"/>
              </w:rPr>
            </w:pPr>
          </w:p>
        </w:tc>
        <w:tc>
          <w:tcPr>
            <w:tcW w:w="7341" w:type="dxa"/>
            <w:vMerge w:val="continue"/>
            <w:shd w:val="clear" w:color="000000" w:fill="FFFFFF"/>
            <w:vAlign w:val="center"/>
          </w:tcPr>
          <w:p>
            <w:pPr>
              <w:widowControl/>
              <w:ind w:firstLine="0" w:firstLineChars="0"/>
              <w:rPr>
                <w:rFonts w:hint="default" w:ascii="Times New Roman" w:hAnsi="Times New Roman" w:eastAsia="方正仿宋_GBK" w:cs="Times New Roman"/>
                <w:color w:val="FF0000"/>
                <w:kern w:val="0"/>
                <w:sz w:val="32"/>
                <w:szCs w:val="3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15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效益</w:t>
            </w:r>
          </w:p>
        </w:tc>
        <w:tc>
          <w:tcPr>
            <w:tcW w:w="119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社会效益指标</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人民生命财产安全保障</w:t>
            </w:r>
          </w:p>
        </w:tc>
        <w:tc>
          <w:tcPr>
            <w:tcW w:w="2789" w:type="dxa"/>
            <w:vMerge w:val="restart"/>
            <w:shd w:val="clear" w:color="auto" w:fill="FFFFFF"/>
            <w:vAlign w:val="center"/>
          </w:tcPr>
          <w:p>
            <w:pPr>
              <w:widowControl/>
              <w:ind w:firstLine="0" w:firstLineChars="0"/>
              <w:jc w:val="left"/>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项目实施所产生的效益。</w:t>
            </w:r>
          </w:p>
        </w:tc>
        <w:tc>
          <w:tcPr>
            <w:tcW w:w="7341" w:type="dxa"/>
            <w:shd w:val="clear" w:color="auto"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15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19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生态效益指标</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重大林业有害生物防控能力</w:t>
            </w:r>
          </w:p>
        </w:tc>
        <w:tc>
          <w:tcPr>
            <w:tcW w:w="2789" w:type="dxa"/>
            <w:vMerge w:val="continue"/>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p>
        </w:tc>
        <w:tc>
          <w:tcPr>
            <w:tcW w:w="7341" w:type="dxa"/>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155"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满意度指标完成情况分析</w:t>
            </w:r>
          </w:p>
        </w:tc>
        <w:tc>
          <w:tcPr>
            <w:tcW w:w="119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满意度指标</w:t>
            </w:r>
          </w:p>
        </w:tc>
        <w:tc>
          <w:tcPr>
            <w:tcW w:w="1411"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项目参与人员满意度</w:t>
            </w:r>
          </w:p>
        </w:tc>
        <w:tc>
          <w:tcPr>
            <w:tcW w:w="2789" w:type="dxa"/>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社会公众或服务对象对项目实施效果的满意程度。</w:t>
            </w:r>
          </w:p>
        </w:tc>
        <w:tc>
          <w:tcPr>
            <w:tcW w:w="7341" w:type="dxa"/>
            <w:shd w:val="clear" w:color="000000" w:fill="FFFFFF"/>
            <w:vAlign w:val="center"/>
          </w:tcPr>
          <w:p>
            <w:pPr>
              <w:widowControl/>
              <w:ind w:firstLine="0" w:firstLineChars="0"/>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社会公众或服务对象是指因该项目实施而受到影响的部门（单位）、群体或个人。一般采取社会调查的方式。</w:t>
            </w:r>
          </w:p>
        </w:tc>
      </w:tr>
    </w:tbl>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pPr>
    </w:p>
    <w:p>
      <w:pPr>
        <w:ind w:firstLine="0" w:firstLineChars="0"/>
        <w:jc w:val="center"/>
        <w:rPr>
          <w:rFonts w:hint="default" w:ascii="Times New Roman" w:hAnsi="Times New Roman" w:eastAsia="方正仿宋_GBK" w:cs="Times New Roman"/>
          <w:sz w:val="32"/>
          <w:szCs w:val="32"/>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spacing w:before="0" w:after="0" w:line="560" w:lineRule="exact"/>
        <w:ind w:firstLine="643"/>
        <w:rPr>
          <w:rFonts w:hint="default" w:ascii="Times New Roman" w:hAnsi="Times New Roman" w:eastAsia="方正仿宋_GBK" w:cs="Times New Roman"/>
          <w:sz w:val="32"/>
          <w:szCs w:val="32"/>
        </w:rPr>
      </w:pPr>
      <w:bookmarkStart w:id="21" w:name="_Toc165277234"/>
      <w:bookmarkStart w:id="22" w:name="_Hlk67586038"/>
      <w:r>
        <w:rPr>
          <w:rFonts w:hint="default" w:ascii="Times New Roman" w:hAnsi="Times New Roman" w:eastAsia="方正仿宋_GBK" w:cs="Times New Roman"/>
          <w:sz w:val="32"/>
          <w:szCs w:val="32"/>
        </w:rPr>
        <w:t>3.评价方法</w:t>
      </w:r>
      <w:bookmarkEnd w:id="21"/>
    </w:p>
    <w:bookmarkEnd w:id="22"/>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《关于印发&lt;项目支出绩效评价管理办法&gt;的通知》（财预〔2020〕10号）文件指出部门评价的方法主要包括成本效益分析法、比较法、因素分析法、最低成本法、公众评判法、标杆管理法等。</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（1）成本效益分析法。是指将投入与产出、效益进行关联性分析的方法。</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（2）比较法。是指将实施情况与绩效目标、历史情况、不同部门和地区同类支出情况进行比较的方法。</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（3）因素分析法。是指综合分析影响绩效目标实现、实施效果的内外部因素的方法。</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（4）最低成本法。是指在绩效目标确定的前提下，成本最小者为优的方法。</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（5）公众评判法。是指通过专家评估、公众问卷及抽样调查等方式进行评判的方法。</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（6）标杆管理法。是指以国内外同行业中较高的绩效水平为标杆进行评判的方法。</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（7）其他评价方法。</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本项目（乌鲁木齐市松材线虫病等重大林业有害生物防治能力提升工程建设项目）的特点，本次评价主要采用因素分析法和公众评判法，对项目总预算和明细预算的内容、标准、计划是否经济合理进行深入分析，以考察实际产出和效益是否达到预期。</w:t>
      </w:r>
    </w:p>
    <w:p>
      <w:pPr>
        <w:pStyle w:val="4"/>
        <w:spacing w:before="0" w:after="0" w:line="560" w:lineRule="exact"/>
        <w:ind w:firstLine="643"/>
        <w:rPr>
          <w:rFonts w:hint="default" w:ascii="Times New Roman" w:hAnsi="Times New Roman" w:eastAsia="方正仿宋_GBK" w:cs="Times New Roman"/>
          <w:sz w:val="32"/>
          <w:szCs w:val="32"/>
        </w:rPr>
      </w:pPr>
      <w:bookmarkStart w:id="23" w:name="_Toc165277235"/>
      <w:r>
        <w:rPr>
          <w:rFonts w:hint="default" w:ascii="Times New Roman" w:hAnsi="Times New Roman" w:eastAsia="方正仿宋_GBK" w:cs="Times New Roman"/>
          <w:sz w:val="32"/>
          <w:szCs w:val="32"/>
        </w:rPr>
        <w:t>4.评价标准</w:t>
      </w:r>
      <w:bookmarkEnd w:id="23"/>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绩效评价标准主要包括计划标准、行业标准、历史标准等，用于对绩效指标完成情况进行比较。</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（1）计划标准。指以预先制定的目标、计划、预算、定额等作为评价标准。</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（2）行业标准。指参照国家公布的行业指标数据制定的评价标准。</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（3）历史标准。指参照历史数据制定的评价标准，为体现绩效改进的原则，在可实现的条件下应当确定相对较高的评价标准。</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在上述评价标准的基础上，本次评价依据以下文件为重要指导和准绳：</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·《中共中央国务院关于全面实施预算绩效管理的意见》（中发〔2018〕34号）</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·《关于印发&lt;乌鲁木齐市本级部门预算绩效目标管理暂行办法&gt;的通知》（乌财预〔2018〕56号）</w:t>
      </w:r>
    </w:p>
    <w:p>
      <w:pPr>
        <w:spacing w:line="560" w:lineRule="exact"/>
        <w:ind w:firstLine="560" w:firstLineChars="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·《关于做好2019年部门预算项目支出绩效目标管理有关事宜的通知》（乌财预〔2018〕76号）</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·《项目支出绩效评价管理办法》（财预〔2020〕10号）</w:t>
      </w:r>
    </w:p>
    <w:p>
      <w:pPr>
        <w:spacing w:line="560" w:lineRule="exact"/>
        <w:ind w:firstLine="560" w:firstLineChars="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·《自治区发展改革委 林草局关于下达藏粮于地藏粮于技专项（林业草原有害生物防治能力建设项目）2022年中央预算内投资计划的通知》（新发改投资〔2022〕276 号）</w:t>
      </w:r>
    </w:p>
    <w:p>
      <w:pPr>
        <w:spacing w:line="560" w:lineRule="exact"/>
        <w:ind w:firstLine="560" w:firstLineChars="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·《关于下达2022年藏粮于地藏粮于技专项（林业草原有害生物防治能力建设项目）中央预算内投资计划的通知》（乌财建〔2022〕194 号）</w:t>
      </w:r>
    </w:p>
    <w:p>
      <w:pPr>
        <w:spacing w:line="560" w:lineRule="exact"/>
        <w:ind w:firstLine="560" w:firstLineChars="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·《关于印发&lt;乌鲁木齐市财政专项资金使用跟踪反馈管理暂行办法&gt;的通知》（乌财预〔2018〕41号）</w:t>
      </w:r>
    </w:p>
    <w:p>
      <w:pPr>
        <w:spacing w:line="560" w:lineRule="exact"/>
        <w:ind w:firstLine="560" w:firstLineChars="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《关于印发农业领域相关专项中央预算内投资管理办法的通知》发改农经规（2021）1273号</w:t>
      </w:r>
    </w:p>
    <w:p>
      <w:pPr>
        <w:pStyle w:val="3"/>
        <w:spacing w:before="0" w:after="0" w:line="560" w:lineRule="exact"/>
        <w:ind w:firstLine="643"/>
        <w:rPr>
          <w:rFonts w:hint="default" w:ascii="Times New Roman" w:hAnsi="Times New Roman" w:eastAsia="方正仿宋_GBK" w:cs="Times New Roman"/>
          <w:sz w:val="32"/>
          <w:szCs w:val="32"/>
        </w:rPr>
      </w:pPr>
      <w:bookmarkStart w:id="24" w:name="_Toc165277236"/>
      <w:bookmarkStart w:id="25" w:name="_Toc67911607"/>
      <w:r>
        <w:rPr>
          <w:rFonts w:hint="default" w:ascii="Times New Roman" w:hAnsi="Times New Roman" w:eastAsia="方正仿宋_GBK" w:cs="Times New Roman"/>
          <w:sz w:val="32"/>
          <w:szCs w:val="32"/>
        </w:rPr>
        <w:t>（三）绩效评价工作过程</w:t>
      </w:r>
      <w:bookmarkEnd w:id="24"/>
      <w:bookmarkEnd w:id="25"/>
    </w:p>
    <w:p>
      <w:pPr>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w:t>
      </w:r>
      <w:r>
        <w:rPr>
          <w:rStyle w:val="17"/>
          <w:rFonts w:hint="default" w:ascii="Times New Roman" w:hAnsi="Times New Roman" w:eastAsia="方正仿宋_GBK" w:cs="Times New Roman"/>
          <w:sz w:val="32"/>
          <w:szCs w:val="32"/>
        </w:rPr>
        <w:footnoteReference w:id="0"/>
      </w:r>
      <w:r>
        <w:rPr>
          <w:rFonts w:hint="default" w:ascii="Times New Roman" w:hAnsi="Times New Roman" w:eastAsia="方正仿宋_GBK" w:cs="Times New Roman"/>
          <w:sz w:val="32"/>
          <w:szCs w:val="32"/>
        </w:rPr>
        <w:t>、材料审核分析、现场核查评价、综合分析评价及报告撰写，评价项目实施情况，展现资金使用效益。</w:t>
      </w:r>
    </w:p>
    <w:p>
      <w:pPr>
        <w:pStyle w:val="2"/>
        <w:snapToGrid w:val="0"/>
        <w:spacing w:before="0" w:after="0" w:line="560" w:lineRule="exact"/>
        <w:ind w:firstLine="0" w:firstLineChars="0"/>
        <w:jc w:val="left"/>
        <w:rPr>
          <w:rFonts w:hint="default" w:ascii="Times New Roman" w:hAnsi="Times New Roman" w:eastAsia="方正仿宋_GBK" w:cs="Times New Roman"/>
          <w:sz w:val="32"/>
          <w:szCs w:val="32"/>
        </w:rPr>
      </w:pPr>
      <w:bookmarkStart w:id="26" w:name="_Toc165277237"/>
      <w:bookmarkStart w:id="27" w:name="_Toc67911608"/>
      <w:r>
        <w:rPr>
          <w:rFonts w:hint="default" w:ascii="Times New Roman" w:hAnsi="Times New Roman" w:eastAsia="方正仿宋_GBK" w:cs="Times New Roman"/>
          <w:sz w:val="32"/>
          <w:szCs w:val="32"/>
        </w:rPr>
        <w:t>三、综合评价情况及评价结论</w:t>
      </w:r>
      <w:bookmarkEnd w:id="26"/>
      <w:bookmarkEnd w:id="27"/>
    </w:p>
    <w:p>
      <w:pPr>
        <w:pStyle w:val="3"/>
        <w:snapToGrid w:val="0"/>
        <w:spacing w:before="0" w:after="0" w:line="560" w:lineRule="exact"/>
        <w:ind w:firstLine="643"/>
        <w:rPr>
          <w:rFonts w:hint="default" w:ascii="Times New Roman" w:hAnsi="Times New Roman" w:eastAsia="方正仿宋_GBK" w:cs="Times New Roman"/>
          <w:sz w:val="32"/>
          <w:szCs w:val="32"/>
        </w:rPr>
      </w:pPr>
      <w:bookmarkStart w:id="28" w:name="_Toc67911609"/>
      <w:bookmarkStart w:id="29" w:name="_Toc165277238"/>
      <w:r>
        <w:rPr>
          <w:rFonts w:hint="default" w:ascii="Times New Roman" w:hAnsi="Times New Roman" w:eastAsia="方正仿宋_GBK" w:cs="Times New Roman"/>
          <w:sz w:val="32"/>
          <w:szCs w:val="32"/>
        </w:rPr>
        <w:t>（一）评价结论</w:t>
      </w:r>
      <w:bookmarkEnd w:id="28"/>
      <w:bookmarkEnd w:id="29"/>
    </w:p>
    <w:p>
      <w:pPr>
        <w:snapToGrid w:val="0"/>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结合项目特点，制定符合项目实际的绩效评价指标体系及评分标准，通过数据采集、问卷调查及访谈等形式，对2023年乌鲁木齐市松材线虫病等重大林业有害生物防治能力提升工程建设项目进行客观评价，最终评分结果为：总分为100分，绩效评级为“优”。</w:t>
      </w:r>
    </w:p>
    <w:p>
      <w:pPr>
        <w:spacing w:line="360" w:lineRule="auto"/>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项目各部分权重和绩效分值如附表所示：</w:t>
      </w:r>
    </w:p>
    <w:p>
      <w:pPr>
        <w:spacing w:line="360" w:lineRule="auto"/>
        <w:ind w:firstLine="0" w:firstLineChars="0"/>
        <w:jc w:val="center"/>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 xml:space="preserve">  项目各部分权重和绩效分值</w:t>
      </w:r>
    </w:p>
    <w:tbl>
      <w:tblPr>
        <w:tblStyle w:val="13"/>
        <w:tblW w:w="925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423"/>
        <w:gridCol w:w="1905"/>
        <w:gridCol w:w="3118"/>
        <w:gridCol w:w="679"/>
        <w:gridCol w:w="898"/>
        <w:gridCol w:w="1230"/>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tblHeader/>
          <w:jc w:val="center"/>
        </w:trPr>
        <w:tc>
          <w:tcPr>
            <w:tcW w:w="1423" w:type="dxa"/>
            <w:shd w:val="clear" w:color="auto" w:fill="D0CECE"/>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一级指标</w:t>
            </w:r>
          </w:p>
        </w:tc>
        <w:tc>
          <w:tcPr>
            <w:tcW w:w="1905" w:type="dxa"/>
            <w:shd w:val="clear" w:color="auto" w:fill="D0CECE"/>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二级指标</w:t>
            </w:r>
          </w:p>
        </w:tc>
        <w:tc>
          <w:tcPr>
            <w:tcW w:w="3118" w:type="dxa"/>
            <w:shd w:val="clear" w:color="auto" w:fill="D0CECE"/>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三级指标</w:t>
            </w:r>
          </w:p>
        </w:tc>
        <w:tc>
          <w:tcPr>
            <w:tcW w:w="679" w:type="dxa"/>
            <w:shd w:val="clear" w:color="auto" w:fill="D0CECE"/>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分值</w:t>
            </w:r>
          </w:p>
        </w:tc>
        <w:tc>
          <w:tcPr>
            <w:tcW w:w="898" w:type="dxa"/>
            <w:shd w:val="clear" w:color="auto" w:fill="D0CECE"/>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得分</w:t>
            </w:r>
          </w:p>
        </w:tc>
        <w:tc>
          <w:tcPr>
            <w:tcW w:w="1230" w:type="dxa"/>
            <w:shd w:val="clear" w:color="auto" w:fill="D0CECE"/>
            <w:vAlign w:val="center"/>
          </w:tcPr>
          <w:p>
            <w:pPr>
              <w:widowControl/>
              <w:ind w:firstLine="0" w:firstLineChars="0"/>
              <w:jc w:val="center"/>
              <w:rPr>
                <w:rFonts w:hint="default" w:ascii="Times New Roman" w:hAnsi="Times New Roman" w:eastAsia="方正仿宋_GBK" w:cs="Times New Roman"/>
                <w:b/>
                <w:bCs/>
                <w:kern w:val="0"/>
                <w:sz w:val="32"/>
                <w:szCs w:val="32"/>
              </w:rPr>
            </w:pPr>
            <w:r>
              <w:rPr>
                <w:rFonts w:hint="default" w:ascii="Times New Roman" w:hAnsi="Times New Roman" w:eastAsia="方正仿宋_GBK" w:cs="Times New Roman"/>
                <w:b/>
                <w:bCs/>
                <w:kern w:val="0"/>
                <w:sz w:val="32"/>
                <w:szCs w:val="32"/>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决策</w:t>
            </w:r>
          </w:p>
        </w:tc>
        <w:tc>
          <w:tcPr>
            <w:tcW w:w="190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项目立项</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立项依据充分性</w:t>
            </w:r>
          </w:p>
        </w:tc>
        <w:tc>
          <w:tcPr>
            <w:tcW w:w="67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230"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立项程序规范性</w:t>
            </w:r>
          </w:p>
        </w:tc>
        <w:tc>
          <w:tcPr>
            <w:tcW w:w="67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230" w:type="dxa"/>
            <w:shd w:val="clear" w:color="auto"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05" w:type="dxa"/>
            <w:vMerge w:val="restart"/>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绩效目标</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绩效目标合理性</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绩效指标明确性</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0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资金投入</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预算编制科学性</w:t>
            </w:r>
          </w:p>
        </w:tc>
        <w:tc>
          <w:tcPr>
            <w:tcW w:w="67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230" w:type="dxa"/>
            <w:shd w:val="clear" w:color="auto"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资金分配合理性</w:t>
            </w:r>
          </w:p>
        </w:tc>
        <w:tc>
          <w:tcPr>
            <w:tcW w:w="67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230" w:type="dxa"/>
            <w:shd w:val="clear" w:color="auto"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restart"/>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过程</w:t>
            </w:r>
          </w:p>
        </w:tc>
        <w:tc>
          <w:tcPr>
            <w:tcW w:w="1905" w:type="dxa"/>
            <w:vMerge w:val="restart"/>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资金管理</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资金到位率</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ind w:firstLine="48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预算执行率</w:t>
            </w:r>
          </w:p>
        </w:tc>
        <w:tc>
          <w:tcPr>
            <w:tcW w:w="67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1230" w:type="dxa"/>
            <w:shd w:val="clear" w:color="auto"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资金使用合规性</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0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组织实施</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管理制度健全性</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3</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制度执行有效性</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4</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8" w:hRule="atLeast"/>
          <w:jc w:val="center"/>
        </w:trPr>
        <w:tc>
          <w:tcPr>
            <w:tcW w:w="1423"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w:t>
            </w:r>
          </w:p>
        </w:tc>
        <w:tc>
          <w:tcPr>
            <w:tcW w:w="1905"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产出数量</w:t>
            </w:r>
          </w:p>
        </w:tc>
        <w:tc>
          <w:tcPr>
            <w:tcW w:w="3118" w:type="dxa"/>
            <w:shd w:val="clear" w:color="auto" w:fill="FFFFFF"/>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支持项目数量</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0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产出质量</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采购设备合格率（%）</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建设项目验收合格率</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0" w:hRule="atLeast"/>
          <w:jc w:val="center"/>
        </w:trPr>
        <w:tc>
          <w:tcPr>
            <w:tcW w:w="1423"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05" w:type="dxa"/>
            <w:vMerge w:val="restart"/>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产出时效</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项目建设期限</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1230" w:type="dxa"/>
            <w:vMerge w:val="restart"/>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0" w:hRule="atLeast"/>
          <w:jc w:val="center"/>
        </w:trPr>
        <w:tc>
          <w:tcPr>
            <w:tcW w:w="1423"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ind w:firstLine="0" w:firstLineChars="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项目建设按期完成率</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1230" w:type="dxa"/>
            <w:vMerge w:val="continue"/>
            <w:shd w:val="clear" w:color="000000" w:fill="FFFFFF"/>
          </w:tcPr>
          <w:p>
            <w:pPr>
              <w:widowControl/>
              <w:ind w:firstLine="0" w:firstLineChars="0"/>
              <w:jc w:val="center"/>
              <w:rPr>
                <w:rFonts w:hint="default" w:ascii="Times New Roman" w:hAnsi="Times New Roman" w:eastAsia="方正仿宋_GBK" w:cs="Times New Roman"/>
                <w:kern w:val="0"/>
                <w:sz w:val="32"/>
                <w:szCs w:val="3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效益</w:t>
            </w:r>
          </w:p>
        </w:tc>
        <w:tc>
          <w:tcPr>
            <w:tcW w:w="1905" w:type="dxa"/>
            <w:vMerge w:val="restart"/>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项目效益</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社会效益指标</w:t>
            </w:r>
          </w:p>
        </w:tc>
        <w:tc>
          <w:tcPr>
            <w:tcW w:w="679"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89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10</w:t>
            </w:r>
          </w:p>
        </w:tc>
        <w:tc>
          <w:tcPr>
            <w:tcW w:w="1230" w:type="dxa"/>
            <w:shd w:val="clear" w:color="auto"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1905" w:type="dxa"/>
            <w:vMerge w:val="continue"/>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生态效益指标</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423"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满意度指标完成情况分析</w:t>
            </w:r>
          </w:p>
        </w:tc>
        <w:tc>
          <w:tcPr>
            <w:tcW w:w="1905" w:type="dxa"/>
            <w:shd w:val="clear" w:color="auto"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color w:val="000000"/>
                <w:kern w:val="0"/>
                <w:sz w:val="32"/>
                <w:szCs w:val="32"/>
              </w:rPr>
              <w:t>满意度指标</w:t>
            </w:r>
          </w:p>
        </w:tc>
        <w:tc>
          <w:tcPr>
            <w:tcW w:w="3118" w:type="dxa"/>
            <w:shd w:val="clear" w:color="auto" w:fill="FFFFFF"/>
            <w:vAlign w:val="center"/>
          </w:tcPr>
          <w:p>
            <w:pPr>
              <w:widowControl/>
              <w:ind w:firstLine="0" w:firstLineChars="0"/>
              <w:jc w:val="center"/>
              <w:rPr>
                <w:rFonts w:hint="default" w:ascii="Times New Roman" w:hAnsi="Times New Roman" w:eastAsia="方正仿宋_GBK" w:cs="Times New Roman"/>
                <w:color w:val="000000"/>
                <w:kern w:val="0"/>
                <w:sz w:val="32"/>
                <w:szCs w:val="32"/>
              </w:rPr>
            </w:pPr>
            <w:r>
              <w:rPr>
                <w:rFonts w:hint="default" w:ascii="Times New Roman" w:hAnsi="Times New Roman" w:eastAsia="方正仿宋_GBK" w:cs="Times New Roman"/>
                <w:color w:val="000000"/>
                <w:kern w:val="0"/>
                <w:sz w:val="32"/>
                <w:szCs w:val="32"/>
              </w:rPr>
              <w:t>项目参与人员满意度</w:t>
            </w:r>
          </w:p>
        </w:tc>
        <w:tc>
          <w:tcPr>
            <w:tcW w:w="679"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898" w:type="dxa"/>
            <w:shd w:val="clear" w:color="000000" w:fill="FFFFFF"/>
            <w:vAlign w:val="center"/>
          </w:tcPr>
          <w:p>
            <w:pPr>
              <w:widowControl/>
              <w:ind w:firstLine="0" w:firstLineChars="0"/>
              <w:jc w:val="center"/>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5</w:t>
            </w:r>
          </w:p>
        </w:tc>
        <w:tc>
          <w:tcPr>
            <w:tcW w:w="1230" w:type="dxa"/>
            <w:shd w:val="clear" w:color="000000" w:fill="FFFFFF"/>
          </w:tcPr>
          <w:p>
            <w:pPr>
              <w:ind w:firstLine="0" w:firstLineChars="0"/>
              <w:jc w:val="center"/>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rPr>
              <w:t>100%</w:t>
            </w:r>
          </w:p>
        </w:tc>
      </w:tr>
    </w:tbl>
    <w:p>
      <w:pPr>
        <w:pStyle w:val="3"/>
        <w:spacing w:before="0" w:after="0" w:line="560" w:lineRule="exact"/>
        <w:ind w:firstLine="643"/>
        <w:rPr>
          <w:rFonts w:hint="default" w:ascii="Times New Roman" w:hAnsi="Times New Roman" w:eastAsia="方正仿宋_GBK" w:cs="Times New Roman"/>
          <w:sz w:val="32"/>
          <w:szCs w:val="32"/>
        </w:rPr>
      </w:pPr>
      <w:bookmarkStart w:id="30" w:name="_Toc165277239"/>
      <w:bookmarkStart w:id="31" w:name="_Toc67911610"/>
      <w:r>
        <w:rPr>
          <w:rFonts w:hint="default" w:ascii="Times New Roman" w:hAnsi="Times New Roman" w:eastAsia="方正仿宋_GBK" w:cs="Times New Roman"/>
          <w:sz w:val="32"/>
          <w:szCs w:val="32"/>
        </w:rPr>
        <w:t>（二）主要绩效</w:t>
      </w:r>
      <w:bookmarkEnd w:id="30"/>
      <w:bookmarkEnd w:id="31"/>
    </w:p>
    <w:p>
      <w:pPr>
        <w:spacing w:line="560" w:lineRule="exact"/>
        <w:ind w:firstLine="648"/>
        <w:rPr>
          <w:rFonts w:hint="default" w:ascii="Times New Roman" w:hAnsi="Times New Roman" w:eastAsia="方正仿宋_GBK" w:cs="Times New Roman"/>
          <w:snapToGrid w:val="0"/>
          <w:color w:val="000000"/>
          <w:spacing w:val="2"/>
          <w:sz w:val="32"/>
          <w:szCs w:val="32"/>
        </w:rPr>
      </w:pPr>
      <w:bookmarkStart w:id="32" w:name="_Toc67911611"/>
      <w:bookmarkStart w:id="33" w:name="_Toc165277240"/>
      <w:r>
        <w:rPr>
          <w:rFonts w:hint="default" w:ascii="Times New Roman" w:hAnsi="Times New Roman" w:eastAsia="方正仿宋_GBK" w:cs="Times New Roman"/>
          <w:snapToGrid w:val="0"/>
          <w:color w:val="000000"/>
          <w:spacing w:val="2"/>
          <w:sz w:val="32"/>
          <w:szCs w:val="32"/>
        </w:rPr>
        <w:t>该项目资金市财政及时拨付，单位在此次评价期间内，有序完成设定目标的部分工作任务，设备采购完成、实验室等改造基本完成，为发展我市重大林业有害生物应对能力，防范外来有害生物灾害提供强有力的支撑。</w:t>
      </w:r>
    </w:p>
    <w:p>
      <w:pPr>
        <w:pStyle w:val="2"/>
        <w:spacing w:before="0" w:after="0" w:line="560" w:lineRule="exact"/>
        <w:ind w:firstLine="0" w:firstLineChars="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四、绩效评价指标分析</w:t>
      </w:r>
      <w:bookmarkEnd w:id="32"/>
      <w:bookmarkEnd w:id="33"/>
    </w:p>
    <w:p>
      <w:pPr>
        <w:pStyle w:val="3"/>
        <w:spacing w:before="0" w:after="0" w:line="560" w:lineRule="exact"/>
        <w:ind w:firstLine="643"/>
        <w:rPr>
          <w:rFonts w:hint="default" w:ascii="Times New Roman" w:hAnsi="Times New Roman" w:eastAsia="方正仿宋_GBK" w:cs="Times New Roman"/>
          <w:sz w:val="32"/>
          <w:szCs w:val="32"/>
        </w:rPr>
      </w:pPr>
      <w:bookmarkStart w:id="34" w:name="_Toc67911612"/>
      <w:bookmarkStart w:id="35" w:name="_Toc165277241"/>
      <w:r>
        <w:rPr>
          <w:rFonts w:hint="default" w:ascii="Times New Roman" w:hAnsi="Times New Roman" w:eastAsia="方正仿宋_GBK" w:cs="Times New Roman"/>
          <w:sz w:val="32"/>
          <w:szCs w:val="32"/>
        </w:rPr>
        <w:t>（一）项目决策情况</w:t>
      </w:r>
      <w:bookmarkEnd w:id="34"/>
      <w:bookmarkEnd w:id="35"/>
    </w:p>
    <w:p>
      <w:pPr>
        <w:spacing w:line="560" w:lineRule="exact"/>
        <w:ind w:firstLine="640"/>
        <w:rPr>
          <w:rFonts w:hint="default" w:ascii="Times New Roman" w:hAnsi="Times New Roman" w:eastAsia="方正仿宋_GBK" w:cs="Times New Roman"/>
          <w:color w:val="FF0000"/>
          <w:sz w:val="32"/>
          <w:szCs w:val="32"/>
        </w:rPr>
      </w:pPr>
      <w:r>
        <w:rPr>
          <w:rFonts w:hint="default" w:ascii="Times New Roman" w:hAnsi="Times New Roman" w:eastAsia="方正仿宋_GBK" w:cs="Times New Roman"/>
          <w:sz w:val="32"/>
          <w:szCs w:val="32"/>
        </w:rPr>
        <w:t>项目决算指标由3个二级指标和6个三级指标构成，权重为20分，实际得分20分。</w:t>
      </w:r>
    </w:p>
    <w:p>
      <w:pPr>
        <w:pStyle w:val="4"/>
        <w:spacing w:before="0" w:after="0" w:line="560" w:lineRule="exact"/>
        <w:ind w:firstLine="643"/>
        <w:rPr>
          <w:rFonts w:hint="default" w:ascii="Times New Roman" w:hAnsi="Times New Roman" w:eastAsia="方正仿宋_GBK" w:cs="Times New Roman"/>
          <w:sz w:val="32"/>
          <w:szCs w:val="32"/>
        </w:rPr>
      </w:pPr>
      <w:bookmarkStart w:id="36" w:name="_Toc165277242"/>
      <w:r>
        <w:rPr>
          <w:rFonts w:hint="default" w:ascii="Times New Roman" w:hAnsi="Times New Roman" w:eastAsia="方正仿宋_GBK" w:cs="Times New Roman"/>
          <w:sz w:val="32"/>
          <w:szCs w:val="32"/>
        </w:rPr>
        <w:t>1.项目立项</w:t>
      </w:r>
      <w:bookmarkEnd w:id="36"/>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立项依据充分性：</w:t>
      </w:r>
      <w:r>
        <w:rPr>
          <w:rFonts w:hint="default" w:ascii="Times New Roman" w:hAnsi="Times New Roman" w:eastAsia="方正仿宋_GBK" w:cs="Times New Roman"/>
          <w:sz w:val="32"/>
          <w:szCs w:val="32"/>
        </w:rPr>
        <w:t>本项目属于中央预算内项目，项目由发改委立项，符合中央、地方事权支出责任划分原则。因此，立项依据充分，得4分。</w:t>
      </w:r>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立项程序规范性:</w:t>
      </w:r>
      <w:r>
        <w:rPr>
          <w:rFonts w:hint="default" w:ascii="Times New Roman" w:hAnsi="Times New Roman" w:eastAsia="方正仿宋_GBK" w:cs="Times New Roman"/>
          <w:sz w:val="32"/>
          <w:szCs w:val="32"/>
        </w:rPr>
        <w:t xml:space="preserve"> 项目于2022年1月12日取得市发改委立项批复：《关于乌鲁木齐市松材线虫病等重大林业有害生物防治能力提升工程建项目立项的批复》（乌发改函[2022]8号）；2022年1月17日市发改委下达可行性研究报告批复：《关于乌鲁木齐市松材线虫病等重大林业有害生物防治能力提升工程建项目可行性研究报告的批复》（乌发改函[2022]20号）；2022年12月21日市发改委下达初步设计批复：《关于乌鲁木齐市松材线虫病等重大林业有害生物防治能力提升工程建项目初步设计的批复》（乌发改函[2022]431号）。按照规定的程序向市发改委申请设立本项目，审批文件、材料符合相关要求，故立项程序规范，得4分。</w:t>
      </w:r>
    </w:p>
    <w:p>
      <w:pPr>
        <w:autoSpaceDE w:val="0"/>
        <w:spacing w:line="560" w:lineRule="exact"/>
        <w:ind w:firstLine="643"/>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综上，该指标满分8分，得分8分。</w:t>
      </w:r>
    </w:p>
    <w:p>
      <w:pPr>
        <w:pStyle w:val="4"/>
        <w:spacing w:before="0" w:after="0" w:line="560" w:lineRule="exact"/>
        <w:ind w:firstLine="643"/>
        <w:rPr>
          <w:rFonts w:hint="default" w:ascii="Times New Roman" w:hAnsi="Times New Roman" w:eastAsia="方正仿宋_GBK" w:cs="Times New Roman"/>
          <w:sz w:val="32"/>
          <w:szCs w:val="32"/>
        </w:rPr>
      </w:pPr>
      <w:bookmarkStart w:id="37" w:name="_Toc165277243"/>
      <w:r>
        <w:rPr>
          <w:rFonts w:hint="default" w:ascii="Times New Roman" w:hAnsi="Times New Roman" w:eastAsia="方正仿宋_GBK" w:cs="Times New Roman"/>
          <w:sz w:val="32"/>
          <w:szCs w:val="32"/>
        </w:rPr>
        <w:t>2.绩效目标</w:t>
      </w:r>
      <w:bookmarkEnd w:id="37"/>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绩效目标合理性：</w:t>
      </w:r>
      <w:r>
        <w:rPr>
          <w:rFonts w:hint="default" w:ascii="Times New Roman" w:hAnsi="Times New Roman" w:eastAsia="方正仿宋_GBK" w:cs="Times New Roman"/>
          <w:sz w:val="32"/>
          <w:szCs w:val="32"/>
        </w:rPr>
        <w:t>本项目的绩效目标按照产出、效益和满意度构建绩效评价指标，且具有明确性、可衡量性、可实现性、相关性和时限性等特点，能较为全面地反映本项目的产出和效益，故绩效目标合理性指标得分3分。</w:t>
      </w:r>
    </w:p>
    <w:p>
      <w:pPr>
        <w:autoSpaceDE w:val="0"/>
        <w:spacing w:line="560" w:lineRule="exact"/>
        <w:ind w:firstLine="643"/>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b/>
          <w:kern w:val="0"/>
          <w:sz w:val="32"/>
          <w:szCs w:val="32"/>
        </w:rPr>
        <w:t>绩效目标明确性：</w:t>
      </w:r>
      <w:r>
        <w:rPr>
          <w:rFonts w:hint="default" w:ascii="Times New Roman" w:hAnsi="Times New Roman" w:eastAsia="方正仿宋_GBK" w:cs="Times New Roman"/>
          <w:kern w:val="0"/>
          <w:sz w:val="32"/>
          <w:szCs w:val="32"/>
        </w:rPr>
        <w:t>其中，目标已细化为具体的绩效指标，可通过1个数量指标、2个质量指标和2个时效指标，通过验收合格率、项目完成期限、建设按期完成率等指标进行评价，并具有确切的评价标准，且指标设定均与目标相关。各项指标均能在现实条件下收集到相关数据进行佐证，可通过调取项目资料，查看验收报告、支付凭证确认。并与当年项目年度计划相对应，故绩效目标明确性指标得分3分。</w:t>
      </w:r>
    </w:p>
    <w:p>
      <w:pPr>
        <w:autoSpaceDE w:val="0"/>
        <w:spacing w:line="560" w:lineRule="exact"/>
        <w:ind w:firstLine="643"/>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综上，该指标满分6分，得分6分。</w:t>
      </w:r>
    </w:p>
    <w:p>
      <w:pPr>
        <w:pStyle w:val="4"/>
        <w:spacing w:before="0" w:after="0" w:line="560" w:lineRule="exact"/>
        <w:ind w:firstLine="643"/>
        <w:rPr>
          <w:rFonts w:hint="default" w:ascii="Times New Roman" w:hAnsi="Times New Roman" w:eastAsia="方正仿宋_GBK" w:cs="Times New Roman"/>
          <w:sz w:val="32"/>
          <w:szCs w:val="32"/>
        </w:rPr>
      </w:pPr>
      <w:bookmarkStart w:id="38" w:name="_Toc165277244"/>
      <w:r>
        <w:rPr>
          <w:rFonts w:hint="default" w:ascii="Times New Roman" w:hAnsi="Times New Roman" w:eastAsia="方正仿宋_GBK" w:cs="Times New Roman"/>
          <w:sz w:val="32"/>
          <w:szCs w:val="32"/>
        </w:rPr>
        <w:t>3.资金投入</w:t>
      </w:r>
      <w:bookmarkEnd w:id="38"/>
    </w:p>
    <w:p>
      <w:pPr>
        <w:spacing w:line="560" w:lineRule="exact"/>
        <w:ind w:firstLine="643"/>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b/>
          <w:kern w:val="0"/>
          <w:sz w:val="32"/>
          <w:szCs w:val="32"/>
        </w:rPr>
        <w:t>预算编制科学性：</w:t>
      </w:r>
      <w:r>
        <w:rPr>
          <w:rFonts w:hint="default" w:ascii="Times New Roman" w:hAnsi="Times New Roman" w:eastAsia="方正仿宋_GBK" w:cs="Times New Roman"/>
          <w:snapToGrid w:val="0"/>
          <w:spacing w:val="2"/>
          <w:sz w:val="32"/>
          <w:szCs w:val="32"/>
        </w:rPr>
        <w:t>乌鲁木齐市松材线虫病等重大林业有害生物防治能力提升工程建设项目预算编制经过专家评审，预算内容与项目内容匹配。同时，预算额度测算依据充分，按照标准编制，预算确定的项目投资额与工作任务相匹配。故预算编制科学性指标得分3分。</w:t>
      </w:r>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资金分配合理性</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napToGrid w:val="0"/>
          <w:spacing w:val="2"/>
          <w:sz w:val="32"/>
          <w:szCs w:val="32"/>
        </w:rPr>
        <w:t>乌鲁木齐市松材线虫病等重大林业有害生物防治能力提升工程建设项目预算资金分配依据充分，根据项目初步设计、项目预算表，资金分配额度合理，设备金额、建设预算与地方实际相适应。故资金分配合理性指标得分3分。</w:t>
      </w:r>
    </w:p>
    <w:p>
      <w:pPr>
        <w:autoSpaceDE w:val="0"/>
        <w:spacing w:line="560" w:lineRule="exact"/>
        <w:ind w:firstLine="643"/>
        <w:rPr>
          <w:rFonts w:hint="default" w:ascii="Times New Roman" w:hAnsi="Times New Roman" w:eastAsia="方正仿宋_GBK" w:cs="Times New Roman"/>
          <w:b/>
          <w:color w:val="FF0000"/>
          <w:kern w:val="0"/>
          <w:sz w:val="32"/>
          <w:szCs w:val="32"/>
        </w:rPr>
      </w:pPr>
      <w:r>
        <w:rPr>
          <w:rFonts w:hint="default" w:ascii="Times New Roman" w:hAnsi="Times New Roman" w:eastAsia="方正仿宋_GBK" w:cs="Times New Roman"/>
          <w:b/>
          <w:kern w:val="0"/>
          <w:sz w:val="32"/>
          <w:szCs w:val="32"/>
        </w:rPr>
        <w:t>综上，该指标满分6分，得分6分。</w:t>
      </w:r>
    </w:p>
    <w:p>
      <w:pPr>
        <w:pStyle w:val="3"/>
        <w:spacing w:before="0" w:after="0" w:line="560" w:lineRule="exact"/>
        <w:ind w:firstLine="643"/>
        <w:rPr>
          <w:rFonts w:hint="default" w:ascii="Times New Roman" w:hAnsi="Times New Roman" w:eastAsia="方正仿宋_GBK" w:cs="Times New Roman"/>
          <w:sz w:val="32"/>
          <w:szCs w:val="32"/>
        </w:rPr>
      </w:pPr>
      <w:bookmarkStart w:id="39" w:name="_Toc67911613"/>
      <w:bookmarkStart w:id="40" w:name="_Toc165277245"/>
      <w:r>
        <w:rPr>
          <w:rFonts w:hint="default" w:ascii="Times New Roman" w:hAnsi="Times New Roman" w:eastAsia="方正仿宋_GBK" w:cs="Times New Roman"/>
          <w:sz w:val="32"/>
          <w:szCs w:val="32"/>
        </w:rPr>
        <w:t>（二）项目过程情况</w:t>
      </w:r>
      <w:bookmarkEnd w:id="39"/>
      <w:bookmarkEnd w:id="40"/>
    </w:p>
    <w:p>
      <w:pPr>
        <w:spacing w:line="560" w:lineRule="exact"/>
        <w:ind w:firstLine="640"/>
        <w:rPr>
          <w:rFonts w:hint="default" w:ascii="Times New Roman" w:hAnsi="Times New Roman" w:eastAsia="方正仿宋_GBK" w:cs="Times New Roman"/>
          <w:color w:val="FF0000"/>
          <w:sz w:val="32"/>
          <w:szCs w:val="32"/>
        </w:rPr>
      </w:pPr>
      <w:r>
        <w:rPr>
          <w:rFonts w:hint="default" w:ascii="Times New Roman" w:hAnsi="Times New Roman" w:eastAsia="方正仿宋_GBK" w:cs="Times New Roman"/>
          <w:sz w:val="32"/>
          <w:szCs w:val="32"/>
        </w:rPr>
        <w:t>项目过程指标由2个二级指标和5个三级指标构成，权重为20分，实际得分20分。</w:t>
      </w:r>
    </w:p>
    <w:p>
      <w:pPr>
        <w:pStyle w:val="4"/>
        <w:spacing w:before="0" w:after="0" w:line="560" w:lineRule="exact"/>
        <w:ind w:firstLine="643"/>
        <w:rPr>
          <w:rFonts w:hint="default" w:ascii="Times New Roman" w:hAnsi="Times New Roman" w:eastAsia="方正仿宋_GBK" w:cs="Times New Roman"/>
          <w:sz w:val="32"/>
          <w:szCs w:val="32"/>
        </w:rPr>
      </w:pPr>
      <w:bookmarkStart w:id="41" w:name="_Toc165277246"/>
      <w:r>
        <w:rPr>
          <w:rFonts w:hint="default" w:ascii="Times New Roman" w:hAnsi="Times New Roman" w:eastAsia="方正仿宋_GBK" w:cs="Times New Roman"/>
          <w:sz w:val="32"/>
          <w:szCs w:val="32"/>
        </w:rPr>
        <w:t>1.资金管理</w:t>
      </w:r>
      <w:bookmarkEnd w:id="41"/>
    </w:p>
    <w:p>
      <w:pPr>
        <w:pStyle w:val="5"/>
        <w:adjustRightInd w:val="0"/>
        <w:snapToGrid w:val="0"/>
        <w:spacing w:line="560" w:lineRule="exact"/>
        <w:ind w:firstLine="643"/>
        <w:jc w:val="both"/>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资金到位率：</w:t>
      </w:r>
      <w:r>
        <w:rPr>
          <w:rFonts w:hint="default" w:ascii="Times New Roman" w:hAnsi="Times New Roman" w:eastAsia="方正仿宋_GBK" w:cs="Times New Roman"/>
          <w:snapToGrid w:val="0"/>
          <w:spacing w:val="2"/>
          <w:sz w:val="32"/>
          <w:szCs w:val="32"/>
        </w:rPr>
        <w:t>乌鲁木齐市松材线虫病等重大林业有害生物防治能力提升工程建设项目资金1359万元由财政拨付，</w:t>
      </w:r>
      <w:r>
        <w:rPr>
          <w:rFonts w:hint="default" w:ascii="Times New Roman" w:hAnsi="Times New Roman" w:eastAsia="方正仿宋_GBK" w:cs="Times New Roman"/>
          <w:sz w:val="32"/>
          <w:szCs w:val="32"/>
        </w:rPr>
        <w:t>在2023年5月11日到位450.56万元、5月30日到位354.46万元、6月20日到位421.59万元、6月20日到位132.39万元，</w:t>
      </w:r>
      <w:r>
        <w:rPr>
          <w:rFonts w:hint="default" w:ascii="Times New Roman" w:hAnsi="Times New Roman" w:eastAsia="方正仿宋_GBK" w:cs="Times New Roman"/>
          <w:snapToGrid w:val="0"/>
          <w:spacing w:val="2"/>
          <w:sz w:val="32"/>
          <w:szCs w:val="32"/>
        </w:rPr>
        <w:t>资金及时到位。</w:t>
      </w:r>
    </w:p>
    <w:p>
      <w:pPr>
        <w:spacing w:line="560" w:lineRule="exact"/>
        <w:ind w:firstLine="648"/>
        <w:rPr>
          <w:rFonts w:hint="default" w:ascii="Times New Roman" w:hAnsi="Times New Roman" w:eastAsia="方正仿宋_GBK" w:cs="Times New Roman"/>
          <w:sz w:val="32"/>
          <w:szCs w:val="32"/>
        </w:rPr>
      </w:pPr>
      <w:r>
        <w:rPr>
          <w:rFonts w:hint="default" w:ascii="Times New Roman" w:hAnsi="Times New Roman" w:eastAsia="方正仿宋_GBK" w:cs="Times New Roman"/>
          <w:snapToGrid w:val="0"/>
          <w:spacing w:val="2"/>
          <w:sz w:val="32"/>
          <w:szCs w:val="32"/>
        </w:rPr>
        <w:t>项目预算资金为1359万元，项目实际到位资金为1359万元，因此资金到位率=（实际到位资金/预算资金）×100%=1359/1359×100%=100%。故资金到位率指标得分5分。</w:t>
      </w:r>
    </w:p>
    <w:p>
      <w:pPr>
        <w:spacing w:line="560" w:lineRule="exact"/>
        <w:ind w:firstLine="643"/>
        <w:rPr>
          <w:rFonts w:hint="default" w:ascii="Times New Roman" w:hAnsi="Times New Roman" w:eastAsia="方正仿宋_GBK" w:cs="Times New Roman"/>
          <w:snapToGrid w:val="0"/>
          <w:spacing w:val="2"/>
          <w:sz w:val="32"/>
          <w:szCs w:val="32"/>
        </w:rPr>
      </w:pPr>
      <w:r>
        <w:rPr>
          <w:rFonts w:hint="default" w:ascii="Times New Roman" w:hAnsi="Times New Roman" w:eastAsia="方正仿宋_GBK" w:cs="Times New Roman"/>
          <w:b/>
          <w:bCs/>
          <w:sz w:val="32"/>
          <w:szCs w:val="32"/>
        </w:rPr>
        <w:t>预算执行率：</w:t>
      </w:r>
      <w:r>
        <w:rPr>
          <w:rFonts w:hint="default" w:ascii="Times New Roman" w:hAnsi="Times New Roman" w:eastAsia="方正仿宋_GBK" w:cs="Times New Roman"/>
          <w:snapToGrid w:val="0"/>
          <w:spacing w:val="2"/>
          <w:sz w:val="32"/>
          <w:szCs w:val="32"/>
        </w:rPr>
        <w:t>项目实际到位资金为1359万元，项目实际支出资金为1359万元，预算执行率=（实际支出资金/实际到位资金）×100%=1359/1359×100%=100%。故预算执行率得分为5分。</w:t>
      </w:r>
    </w:p>
    <w:p>
      <w:pPr>
        <w:spacing w:line="560" w:lineRule="exact"/>
        <w:ind w:firstLine="643"/>
        <w:rPr>
          <w:rFonts w:hint="default" w:ascii="Times New Roman" w:hAnsi="Times New Roman" w:eastAsia="方正仿宋_GBK" w:cs="Times New Roman"/>
          <w:snapToGrid w:val="0"/>
          <w:spacing w:val="2"/>
          <w:sz w:val="32"/>
          <w:szCs w:val="32"/>
          <w:highlight w:val="yellow"/>
        </w:rPr>
      </w:pPr>
      <w:r>
        <w:rPr>
          <w:rFonts w:hint="default" w:ascii="Times New Roman" w:hAnsi="Times New Roman" w:eastAsia="方正仿宋_GBK" w:cs="Times New Roman"/>
          <w:b/>
          <w:bCs/>
          <w:sz w:val="32"/>
          <w:szCs w:val="32"/>
        </w:rPr>
        <w:t>资金使用合规性：</w:t>
      </w:r>
      <w:r>
        <w:rPr>
          <w:rFonts w:hint="default" w:ascii="Times New Roman" w:hAnsi="Times New Roman" w:eastAsia="方正仿宋_GBK" w:cs="Times New Roman"/>
          <w:snapToGrid w:val="0"/>
          <w:spacing w:val="2"/>
          <w:sz w:val="32"/>
          <w:szCs w:val="32"/>
        </w:rPr>
        <w:t>本项目资金的使用符合《关于印发＜乌鲁木齐市财政专项资金使用跟踪反馈管理暂行办法＞的通知》（乌财预[2018]41号）的规定。同时，资金的拨付先通过单位内部组织召开会议，根据项目实施方案讨论项目实施进度申请资金支付，单位内部会议通过后，上报局党组会议，会议通过后将会议纪要传达至综合科室，财务相关负责人员提交用款计划，财政层层审核，财政资金下达后进行支付申请。以上流程有大额资金批复、签批单、会议纪要等审批程序及其他必需相对应的手续。符合项目预算批复或合同规定的用途，不存在截留、挤占、挪用、虚列支出等情况。故资金使用合规性得分为3分。</w:t>
      </w:r>
    </w:p>
    <w:p>
      <w:pPr>
        <w:autoSpaceDE w:val="0"/>
        <w:spacing w:line="560" w:lineRule="exact"/>
        <w:ind w:firstLine="643"/>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综上，该指标满分13分，得分13分。</w:t>
      </w:r>
    </w:p>
    <w:p>
      <w:pPr>
        <w:pStyle w:val="4"/>
        <w:spacing w:before="0" w:after="0" w:line="560" w:lineRule="exact"/>
        <w:ind w:firstLine="643"/>
        <w:rPr>
          <w:rFonts w:hint="default" w:ascii="Times New Roman" w:hAnsi="Times New Roman" w:eastAsia="方正仿宋_GBK" w:cs="Times New Roman"/>
          <w:sz w:val="32"/>
          <w:szCs w:val="32"/>
        </w:rPr>
      </w:pPr>
      <w:bookmarkStart w:id="42" w:name="_Toc165277247"/>
      <w:r>
        <w:rPr>
          <w:rFonts w:hint="default" w:ascii="Times New Roman" w:hAnsi="Times New Roman" w:eastAsia="方正仿宋_GBK" w:cs="Times New Roman"/>
          <w:sz w:val="32"/>
          <w:szCs w:val="32"/>
        </w:rPr>
        <w:t>2.组织实施</w:t>
      </w:r>
      <w:bookmarkEnd w:id="42"/>
    </w:p>
    <w:p>
      <w:pPr>
        <w:spacing w:line="560" w:lineRule="exact"/>
        <w:ind w:firstLine="643"/>
        <w:rPr>
          <w:rFonts w:hint="default" w:ascii="Times New Roman" w:hAnsi="Times New Roman" w:eastAsia="方正仿宋_GBK" w:cs="Times New Roman"/>
          <w:snapToGrid w:val="0"/>
          <w:color w:val="FF0000"/>
          <w:spacing w:val="2"/>
          <w:sz w:val="32"/>
          <w:szCs w:val="32"/>
        </w:rPr>
      </w:pPr>
      <w:r>
        <w:rPr>
          <w:rFonts w:hint="default" w:ascii="Times New Roman" w:hAnsi="Times New Roman" w:eastAsia="方正仿宋_GBK" w:cs="Times New Roman"/>
          <w:b/>
          <w:bCs/>
          <w:sz w:val="32"/>
          <w:szCs w:val="32"/>
        </w:rPr>
        <w:t>管理制度健全性：</w:t>
      </w:r>
      <w:r>
        <w:rPr>
          <w:rFonts w:hint="default" w:ascii="Times New Roman" w:hAnsi="Times New Roman" w:eastAsia="方正仿宋_GBK" w:cs="Times New Roman"/>
          <w:snapToGrid w:val="0"/>
          <w:spacing w:val="2"/>
          <w:sz w:val="32"/>
          <w:szCs w:val="32"/>
        </w:rPr>
        <w:t>乌鲁木齐市松材线虫病等重大林业有害生物防治能力提升工程建设项目已制定行政事业单位内部控制报告，且制度合法、合规、完整，为项目顺利实施提供重要保障。故管理制度健全性得分为3分。</w:t>
      </w:r>
    </w:p>
    <w:p>
      <w:pPr>
        <w:spacing w:line="560" w:lineRule="exact"/>
        <w:ind w:firstLine="643"/>
        <w:rPr>
          <w:rFonts w:hint="default" w:ascii="Times New Roman" w:hAnsi="Times New Roman" w:eastAsia="方正仿宋_GBK" w:cs="Times New Roman"/>
          <w:snapToGrid w:val="0"/>
          <w:spacing w:val="2"/>
          <w:sz w:val="32"/>
          <w:szCs w:val="32"/>
        </w:rPr>
      </w:pPr>
      <w:r>
        <w:rPr>
          <w:rFonts w:hint="default" w:ascii="Times New Roman" w:hAnsi="Times New Roman" w:eastAsia="方正仿宋_GBK" w:cs="Times New Roman"/>
          <w:b/>
          <w:bCs/>
          <w:sz w:val="32"/>
          <w:szCs w:val="32"/>
        </w:rPr>
        <w:t>制度执行有效性：</w:t>
      </w:r>
      <w:r>
        <w:rPr>
          <w:rFonts w:hint="default" w:ascii="Times New Roman" w:hAnsi="Times New Roman" w:eastAsia="方正仿宋_GBK" w:cs="Times New Roman"/>
          <w:snapToGrid w:val="0"/>
          <w:spacing w:val="2"/>
          <w:sz w:val="32"/>
          <w:szCs w:val="32"/>
        </w:rPr>
        <w:t>根据评价小组核查情况，本项目严格遵守相关法律法规和相关管理规定，项目调整及支出调整手续完备，整体管理合理有序，项目完成后，及时将会计凭证、固定资产入库单等相关资料分类归档，制度执行有效。故制度执行有效性指标得分4分。</w:t>
      </w:r>
    </w:p>
    <w:p>
      <w:pPr>
        <w:autoSpaceDE w:val="0"/>
        <w:spacing w:line="560" w:lineRule="exact"/>
        <w:ind w:firstLine="643"/>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综上，该指标满分7分，得分7分。</w:t>
      </w:r>
    </w:p>
    <w:p>
      <w:pPr>
        <w:pStyle w:val="3"/>
        <w:spacing w:before="0" w:after="0" w:line="560" w:lineRule="exact"/>
        <w:ind w:firstLine="643"/>
        <w:rPr>
          <w:rFonts w:hint="default" w:ascii="Times New Roman" w:hAnsi="Times New Roman" w:eastAsia="方正仿宋_GBK" w:cs="Times New Roman"/>
          <w:sz w:val="32"/>
          <w:szCs w:val="32"/>
        </w:rPr>
      </w:pPr>
      <w:bookmarkStart w:id="43" w:name="_Toc165277248"/>
      <w:bookmarkStart w:id="44" w:name="_Toc67911614"/>
      <w:r>
        <w:rPr>
          <w:rFonts w:hint="default" w:ascii="Times New Roman" w:hAnsi="Times New Roman" w:eastAsia="方正仿宋_GBK" w:cs="Times New Roman"/>
          <w:sz w:val="32"/>
          <w:szCs w:val="32"/>
        </w:rPr>
        <w:t>（三）项目产出情况</w:t>
      </w:r>
      <w:bookmarkEnd w:id="43"/>
      <w:bookmarkEnd w:id="44"/>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项目产出指标由3个二级指标和5个三级指标构成，权重为40分，实际得分40分。</w:t>
      </w:r>
    </w:p>
    <w:p>
      <w:pPr>
        <w:pStyle w:val="4"/>
        <w:spacing w:before="0" w:after="0" w:line="560" w:lineRule="exact"/>
        <w:ind w:firstLine="643"/>
        <w:rPr>
          <w:rFonts w:hint="default" w:ascii="Times New Roman" w:hAnsi="Times New Roman" w:eastAsia="方正仿宋_GBK" w:cs="Times New Roman"/>
          <w:sz w:val="32"/>
          <w:szCs w:val="32"/>
        </w:rPr>
      </w:pPr>
      <w:bookmarkStart w:id="45" w:name="_Toc165277249"/>
      <w:r>
        <w:rPr>
          <w:rFonts w:hint="default" w:ascii="Times New Roman" w:hAnsi="Times New Roman" w:eastAsia="方正仿宋_GBK" w:cs="Times New Roman"/>
          <w:sz w:val="32"/>
          <w:szCs w:val="32"/>
        </w:rPr>
        <w:t>1.产出数量</w:t>
      </w:r>
      <w:bookmarkEnd w:id="45"/>
    </w:p>
    <w:p>
      <w:pPr>
        <w:spacing w:line="56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数量指标“支持项目数量”的目标值是1个，2023年度我单位实际完成1个。</w:t>
      </w:r>
    </w:p>
    <w:p>
      <w:pPr>
        <w:spacing w:line="56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实际完成率：实际完成1个，年度指标完成率100%。</w:t>
      </w:r>
    </w:p>
    <w:p>
      <w:pPr>
        <w:spacing w:line="560" w:lineRule="exact"/>
        <w:ind w:firstLine="640"/>
        <w:rPr>
          <w:rFonts w:hint="default" w:ascii="Times New Roman" w:hAnsi="Times New Roman" w:eastAsia="方正仿宋_GBK" w:cs="Times New Roman"/>
          <w:bCs/>
          <w:sz w:val="32"/>
          <w:szCs w:val="32"/>
        </w:rPr>
      </w:pPr>
      <w:r>
        <w:rPr>
          <w:rFonts w:hint="default" w:ascii="Times New Roman" w:hAnsi="Times New Roman" w:eastAsia="方正仿宋_GBK" w:cs="Times New Roman"/>
          <w:bCs/>
          <w:sz w:val="32"/>
          <w:szCs w:val="32"/>
        </w:rPr>
        <w:t>该项指标满分5分，故实际完成率得分为5分。</w:t>
      </w:r>
    </w:p>
    <w:p>
      <w:pPr>
        <w:pStyle w:val="4"/>
        <w:spacing w:before="0" w:after="0" w:line="560" w:lineRule="exact"/>
        <w:ind w:firstLine="643"/>
        <w:rPr>
          <w:rFonts w:hint="default" w:ascii="Times New Roman" w:hAnsi="Times New Roman" w:eastAsia="方正仿宋_GBK" w:cs="Times New Roman"/>
          <w:sz w:val="32"/>
          <w:szCs w:val="32"/>
        </w:rPr>
      </w:pPr>
      <w:bookmarkStart w:id="46" w:name="_Toc165277250"/>
      <w:r>
        <w:rPr>
          <w:rFonts w:hint="default" w:ascii="Times New Roman" w:hAnsi="Times New Roman" w:eastAsia="方正仿宋_GBK" w:cs="Times New Roman"/>
          <w:sz w:val="32"/>
          <w:szCs w:val="32"/>
        </w:rPr>
        <w:t>2.产出质量</w:t>
      </w:r>
      <w:bookmarkEnd w:id="46"/>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采购设备合格率（%）：</w:t>
      </w:r>
      <w:r>
        <w:rPr>
          <w:rFonts w:hint="default" w:ascii="Times New Roman" w:hAnsi="Times New Roman" w:eastAsia="方正仿宋_GBK" w:cs="Times New Roman"/>
          <w:sz w:val="32"/>
          <w:szCs w:val="32"/>
        </w:rPr>
        <w:t>“采购设备合格率”的目标值为100%。实际完成值为100%。该项指标满分10分，故采购设备合格率得分为10分。</w:t>
      </w:r>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建设项目验收合格率：</w:t>
      </w:r>
      <w:r>
        <w:rPr>
          <w:rFonts w:hint="default" w:ascii="Times New Roman" w:hAnsi="Times New Roman" w:eastAsia="方正仿宋_GBK" w:cs="Times New Roman"/>
          <w:sz w:val="32"/>
          <w:szCs w:val="32"/>
        </w:rPr>
        <w:t>“建设项目验收合格率”的目标值为90%。实际完成值为100%。该指标完成率为100%。</w:t>
      </w:r>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该项指标满分10分，故建设项目验收合格率得分为10分。</w:t>
      </w:r>
    </w:p>
    <w:p>
      <w:pPr>
        <w:pStyle w:val="4"/>
        <w:spacing w:before="0" w:after="0" w:line="560" w:lineRule="exact"/>
        <w:ind w:firstLine="643"/>
        <w:rPr>
          <w:rFonts w:hint="default" w:ascii="Times New Roman" w:hAnsi="Times New Roman" w:eastAsia="方正仿宋_GBK" w:cs="Times New Roman"/>
          <w:sz w:val="32"/>
          <w:szCs w:val="32"/>
        </w:rPr>
      </w:pPr>
      <w:bookmarkStart w:id="47" w:name="_Toc165277251"/>
      <w:r>
        <w:rPr>
          <w:rFonts w:hint="default" w:ascii="Times New Roman" w:hAnsi="Times New Roman" w:eastAsia="方正仿宋_GBK" w:cs="Times New Roman"/>
          <w:sz w:val="32"/>
          <w:szCs w:val="32"/>
        </w:rPr>
        <w:t>3.产出时效</w:t>
      </w:r>
      <w:bookmarkEnd w:id="47"/>
    </w:p>
    <w:p>
      <w:pPr>
        <w:spacing w:line="560" w:lineRule="exact"/>
        <w:ind w:firstLine="643"/>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完成及时性：</w:t>
      </w:r>
    </w:p>
    <w:p>
      <w:pPr>
        <w:spacing w:line="560" w:lineRule="exact"/>
        <w:ind w:firstLine="643"/>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其中，项目建设期限：</w:t>
      </w:r>
      <w:r>
        <w:rPr>
          <w:rFonts w:hint="default" w:ascii="Times New Roman" w:hAnsi="Times New Roman" w:eastAsia="方正仿宋_GBK" w:cs="Times New Roman"/>
          <w:sz w:val="32"/>
          <w:szCs w:val="32"/>
        </w:rPr>
        <w:t>“项目建设期限”的目标值为≤12个月。实际完成值为12个月。该项指标满分5分，故项目建设期限得分为5分。</w:t>
      </w:r>
    </w:p>
    <w:p>
      <w:pPr>
        <w:spacing w:line="560" w:lineRule="exact"/>
        <w:ind w:firstLine="643"/>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其次，项目建设按期完成率：</w:t>
      </w:r>
      <w:r>
        <w:rPr>
          <w:rFonts w:hint="default" w:ascii="Times New Roman" w:hAnsi="Times New Roman" w:eastAsia="方正仿宋_GBK" w:cs="Times New Roman"/>
          <w:sz w:val="32"/>
          <w:szCs w:val="32"/>
        </w:rPr>
        <w:t>“项目建设按期完成率”的目标值为≥80%。实际完成值为100%。该项指标满分10分，故项目建设按期完成率得分为10分。</w:t>
      </w:r>
    </w:p>
    <w:p>
      <w:pPr>
        <w:autoSpaceDE w:val="0"/>
        <w:spacing w:line="560" w:lineRule="exact"/>
        <w:ind w:firstLine="643"/>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综上，该部分指标满分40分，得分</w:t>
      </w:r>
      <w:r>
        <w:rPr>
          <w:rFonts w:hint="default" w:ascii="Times New Roman" w:hAnsi="Times New Roman" w:eastAsia="方正仿宋_GBK" w:cs="Times New Roman"/>
          <w:sz w:val="32"/>
          <w:szCs w:val="32"/>
        </w:rPr>
        <w:t>40</w:t>
      </w:r>
      <w:r>
        <w:rPr>
          <w:rFonts w:hint="default" w:ascii="Times New Roman" w:hAnsi="Times New Roman" w:eastAsia="方正仿宋_GBK" w:cs="Times New Roman"/>
          <w:b/>
          <w:kern w:val="0"/>
          <w:sz w:val="32"/>
          <w:szCs w:val="32"/>
        </w:rPr>
        <w:t>分。</w:t>
      </w:r>
    </w:p>
    <w:p>
      <w:pPr>
        <w:pStyle w:val="3"/>
        <w:spacing w:before="0" w:after="0" w:line="560" w:lineRule="exact"/>
        <w:ind w:firstLine="643"/>
        <w:rPr>
          <w:rFonts w:hint="default" w:ascii="Times New Roman" w:hAnsi="Times New Roman" w:eastAsia="方正仿宋_GBK" w:cs="Times New Roman"/>
          <w:sz w:val="32"/>
          <w:szCs w:val="32"/>
        </w:rPr>
      </w:pPr>
      <w:bookmarkStart w:id="48" w:name="_Toc67911615"/>
      <w:bookmarkStart w:id="49" w:name="_Toc165277253"/>
      <w:r>
        <w:rPr>
          <w:rFonts w:hint="default" w:ascii="Times New Roman" w:hAnsi="Times New Roman" w:eastAsia="方正仿宋_GBK" w:cs="Times New Roman"/>
          <w:sz w:val="32"/>
          <w:szCs w:val="32"/>
        </w:rPr>
        <w:t>（四）项目效益情况</w:t>
      </w:r>
      <w:bookmarkEnd w:id="48"/>
      <w:bookmarkEnd w:id="49"/>
    </w:p>
    <w:p>
      <w:pPr>
        <w:spacing w:line="560" w:lineRule="exact"/>
        <w:ind w:firstLine="64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项目效益指标由1个二级指标和2个三级指标构成，权重为15分，实际得分15分。</w:t>
      </w:r>
    </w:p>
    <w:p>
      <w:pPr>
        <w:pStyle w:val="4"/>
        <w:spacing w:before="0" w:after="0" w:line="560" w:lineRule="exact"/>
        <w:ind w:firstLine="643"/>
        <w:rPr>
          <w:rFonts w:hint="default" w:ascii="Times New Roman" w:hAnsi="Times New Roman" w:eastAsia="方正仿宋_GBK" w:cs="Times New Roman"/>
          <w:sz w:val="32"/>
          <w:szCs w:val="32"/>
        </w:rPr>
      </w:pPr>
      <w:bookmarkStart w:id="50" w:name="_Toc165277254"/>
      <w:r>
        <w:rPr>
          <w:rFonts w:hint="default" w:ascii="Times New Roman" w:hAnsi="Times New Roman" w:eastAsia="方正仿宋_GBK" w:cs="Times New Roman"/>
          <w:sz w:val="32"/>
          <w:szCs w:val="32"/>
        </w:rPr>
        <w:t>1.项目效益</w:t>
      </w:r>
      <w:bookmarkEnd w:id="50"/>
    </w:p>
    <w:p>
      <w:pPr>
        <w:spacing w:line="560" w:lineRule="exact"/>
        <w:ind w:firstLine="643"/>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（1）实施效益</w:t>
      </w:r>
    </w:p>
    <w:p>
      <w:pPr>
        <w:spacing w:line="560" w:lineRule="exact"/>
        <w:ind w:firstLine="643"/>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经济效益指标：</w:t>
      </w:r>
      <w:r>
        <w:rPr>
          <w:rFonts w:hint="default" w:ascii="Times New Roman" w:hAnsi="Times New Roman" w:eastAsia="方正仿宋_GBK" w:cs="Times New Roman"/>
          <w:sz w:val="32"/>
          <w:szCs w:val="32"/>
        </w:rPr>
        <w:t>不适用。</w:t>
      </w:r>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社会效益指标</w:t>
      </w:r>
      <w:r>
        <w:rPr>
          <w:rFonts w:hint="default" w:ascii="Times New Roman" w:hAnsi="Times New Roman" w:eastAsia="方正仿宋_GBK" w:cs="Times New Roman"/>
          <w:sz w:val="32"/>
          <w:szCs w:val="32"/>
        </w:rPr>
        <w:t>：评价指标“人民生命财产安全保障”，指标值：显著提升，实际完成值：完全达到预期。本项目的实施有效提升了我市林业有害生物防治能力，为重大危险性林业有害生物预防、防治提供基础保障。</w:t>
      </w:r>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生态效益指标</w:t>
      </w:r>
      <w:r>
        <w:rPr>
          <w:rFonts w:hint="default" w:ascii="Times New Roman" w:hAnsi="Times New Roman" w:eastAsia="方正仿宋_GBK" w:cs="Times New Roman"/>
          <w:sz w:val="32"/>
          <w:szCs w:val="32"/>
        </w:rPr>
        <w:t>：评价指标“重大林业有害生物防控能力”，指标值：显著提升，实际完成值：完全达到预期。本项目的实施增加各类防治设备及检测设备，有效加强我市重大林业有害生物防治能力。</w:t>
      </w:r>
    </w:p>
    <w:p>
      <w:pPr>
        <w:autoSpaceDE w:val="0"/>
        <w:spacing w:line="560" w:lineRule="exact"/>
        <w:ind w:firstLine="643"/>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综上，该指标满分15分，得分15分。</w:t>
      </w:r>
    </w:p>
    <w:p>
      <w:pPr>
        <w:pStyle w:val="4"/>
        <w:spacing w:before="0" w:after="0" w:line="560" w:lineRule="exact"/>
        <w:ind w:firstLine="643"/>
        <w:rPr>
          <w:rFonts w:hint="default" w:ascii="Times New Roman" w:hAnsi="Times New Roman" w:eastAsia="方正仿宋_GBK" w:cs="Times New Roman"/>
          <w:sz w:val="32"/>
          <w:szCs w:val="32"/>
        </w:rPr>
      </w:pPr>
      <w:bookmarkStart w:id="51" w:name="_Toc165277255"/>
      <w:r>
        <w:rPr>
          <w:rFonts w:hint="default" w:ascii="Times New Roman" w:hAnsi="Times New Roman" w:eastAsia="方正仿宋_GBK" w:cs="Times New Roman"/>
          <w:sz w:val="32"/>
          <w:szCs w:val="32"/>
        </w:rPr>
        <w:t>2. 满意度指标完成情况分析</w:t>
      </w:r>
      <w:bookmarkEnd w:id="51"/>
    </w:p>
    <w:p>
      <w:pPr>
        <w:spacing w:line="560" w:lineRule="exact"/>
        <w:ind w:firstLine="643"/>
        <w:rPr>
          <w:rFonts w:hint="default" w:ascii="Times New Roman" w:hAnsi="Times New Roman" w:eastAsia="方正仿宋_GBK" w:cs="Times New Roman"/>
          <w:b/>
          <w:bCs/>
          <w:sz w:val="32"/>
          <w:szCs w:val="32"/>
        </w:rPr>
      </w:pPr>
      <w:r>
        <w:rPr>
          <w:rFonts w:hint="default" w:ascii="Times New Roman" w:hAnsi="Times New Roman" w:eastAsia="方正仿宋_GBK" w:cs="Times New Roman"/>
          <w:b/>
          <w:bCs/>
          <w:sz w:val="32"/>
          <w:szCs w:val="32"/>
        </w:rPr>
        <w:t>（1）满意度指标</w:t>
      </w:r>
    </w:p>
    <w:p>
      <w:pPr>
        <w:spacing w:line="560" w:lineRule="exact"/>
        <w:ind w:firstLine="643"/>
        <w:rPr>
          <w:rFonts w:hint="default" w:ascii="Times New Roman" w:hAnsi="Times New Roman" w:eastAsia="方正仿宋_GBK" w:cs="Times New Roman"/>
          <w:sz w:val="32"/>
          <w:szCs w:val="32"/>
        </w:rPr>
      </w:pPr>
      <w:r>
        <w:rPr>
          <w:rFonts w:hint="default" w:ascii="Times New Roman" w:hAnsi="Times New Roman" w:eastAsia="方正仿宋_GBK" w:cs="Times New Roman"/>
          <w:b/>
          <w:bCs/>
          <w:sz w:val="32"/>
          <w:szCs w:val="32"/>
        </w:rPr>
        <w:t>群众满意度：</w:t>
      </w:r>
      <w:r>
        <w:rPr>
          <w:rFonts w:hint="default" w:ascii="Times New Roman" w:hAnsi="Times New Roman" w:eastAsia="方正仿宋_GBK" w:cs="Times New Roman"/>
          <w:sz w:val="32"/>
          <w:szCs w:val="32"/>
        </w:rPr>
        <w:t>评价指标“项目参与人员满意度”，指标值：≥95%，实际完成值：＝95%。通过设置问卷调查的方式进行考评评价，共计调查样本总量为20个样本，有效调查问卷20份。其中，统计“满意度”的平均值为95%。故满意度指标得分为5分。</w:t>
      </w:r>
    </w:p>
    <w:p>
      <w:pPr>
        <w:autoSpaceDE w:val="0"/>
        <w:spacing w:line="560" w:lineRule="exact"/>
        <w:ind w:firstLine="643"/>
        <w:rPr>
          <w:rFonts w:hint="default" w:ascii="Times New Roman" w:hAnsi="Times New Roman" w:eastAsia="方正仿宋_GBK" w:cs="Times New Roman"/>
          <w:b/>
          <w:kern w:val="0"/>
          <w:sz w:val="32"/>
          <w:szCs w:val="32"/>
        </w:rPr>
      </w:pPr>
      <w:r>
        <w:rPr>
          <w:rFonts w:hint="default" w:ascii="Times New Roman" w:hAnsi="Times New Roman" w:eastAsia="方正仿宋_GBK" w:cs="Times New Roman"/>
          <w:b/>
          <w:kern w:val="0"/>
          <w:sz w:val="32"/>
          <w:szCs w:val="32"/>
        </w:rPr>
        <w:t>综上，该指标满分5分，得分5分。</w:t>
      </w:r>
    </w:p>
    <w:p>
      <w:pPr>
        <w:pStyle w:val="2"/>
        <w:spacing w:before="0" w:after="0" w:line="560" w:lineRule="exact"/>
        <w:ind w:firstLine="0" w:firstLineChars="0"/>
        <w:jc w:val="left"/>
        <w:rPr>
          <w:rFonts w:hint="default" w:ascii="Times New Roman" w:hAnsi="Times New Roman" w:eastAsia="方正仿宋_GBK" w:cs="Times New Roman"/>
          <w:sz w:val="32"/>
          <w:szCs w:val="32"/>
        </w:rPr>
      </w:pPr>
      <w:bookmarkStart w:id="52" w:name="_Toc165277256"/>
      <w:bookmarkStart w:id="53" w:name="_Toc67911617"/>
      <w:r>
        <w:rPr>
          <w:rFonts w:hint="default" w:ascii="Times New Roman" w:hAnsi="Times New Roman" w:eastAsia="方正仿宋_GBK" w:cs="Times New Roman"/>
          <w:sz w:val="32"/>
          <w:szCs w:val="32"/>
        </w:rPr>
        <w:t>五、主要经验及做法、存在的问题及原因分析</w:t>
      </w:r>
      <w:bookmarkEnd w:id="52"/>
      <w:bookmarkEnd w:id="53"/>
    </w:p>
    <w:p>
      <w:pPr>
        <w:pStyle w:val="3"/>
        <w:spacing w:before="0" w:after="0" w:line="560" w:lineRule="exact"/>
        <w:ind w:firstLine="643"/>
        <w:rPr>
          <w:rFonts w:hint="default" w:ascii="Times New Roman" w:hAnsi="Times New Roman" w:eastAsia="方正仿宋_GBK" w:cs="Times New Roman"/>
          <w:sz w:val="32"/>
          <w:szCs w:val="32"/>
        </w:rPr>
      </w:pPr>
      <w:bookmarkStart w:id="54" w:name="_Toc67911618"/>
      <w:bookmarkStart w:id="55" w:name="_Toc165277257"/>
      <w:r>
        <w:rPr>
          <w:rFonts w:hint="default" w:ascii="Times New Roman" w:hAnsi="Times New Roman" w:eastAsia="方正仿宋_GBK" w:cs="Times New Roman"/>
          <w:sz w:val="32"/>
          <w:szCs w:val="32"/>
        </w:rPr>
        <w:t>（一）主要经验及做法</w:t>
      </w:r>
      <w:bookmarkEnd w:id="54"/>
      <w:bookmarkEnd w:id="55"/>
    </w:p>
    <w:p>
      <w:pPr>
        <w:autoSpaceDE w:val="0"/>
        <w:spacing w:line="560" w:lineRule="exact"/>
        <w:ind w:firstLine="640"/>
        <w:rPr>
          <w:rFonts w:hint="default" w:ascii="Times New Roman" w:hAnsi="Times New Roman" w:eastAsia="方正仿宋_GBK" w:cs="Times New Roman"/>
          <w:bCs/>
          <w:kern w:val="0"/>
          <w:sz w:val="32"/>
          <w:szCs w:val="32"/>
        </w:rPr>
      </w:pPr>
      <w:r>
        <w:rPr>
          <w:rFonts w:hint="default" w:ascii="Times New Roman" w:hAnsi="Times New Roman" w:eastAsia="方正仿宋_GBK" w:cs="Times New Roman"/>
          <w:bCs/>
          <w:kern w:val="0"/>
          <w:sz w:val="32"/>
          <w:szCs w:val="32"/>
        </w:rPr>
        <w:t>本项目在全疆为首个中央预算内重大林业有害生物防治能力提升建设项目，没有同类建设项目经验借鉴，我们在建设过程中，充分论证各环节，将问题考虑在前，早发现、早应对，采购工作严格按照法律法规及相关要求开展。有疑问第一时间与相关管理部门沟通，做到每一环节成竹在胸。</w:t>
      </w:r>
    </w:p>
    <w:p>
      <w:pPr>
        <w:pStyle w:val="3"/>
        <w:spacing w:before="0" w:after="0" w:line="560" w:lineRule="exact"/>
        <w:ind w:firstLine="643"/>
        <w:rPr>
          <w:rFonts w:hint="default" w:ascii="Times New Roman" w:hAnsi="Times New Roman" w:eastAsia="方正仿宋_GBK" w:cs="Times New Roman"/>
          <w:sz w:val="32"/>
          <w:szCs w:val="32"/>
        </w:rPr>
      </w:pPr>
      <w:bookmarkStart w:id="56" w:name="_Toc165277258"/>
      <w:r>
        <w:rPr>
          <w:rFonts w:hint="default" w:ascii="Times New Roman" w:hAnsi="Times New Roman" w:eastAsia="方正仿宋_GBK" w:cs="Times New Roman"/>
          <w:sz w:val="32"/>
          <w:szCs w:val="32"/>
        </w:rPr>
        <w:t>（二）存在的问题及原因分析</w:t>
      </w:r>
      <w:bookmarkEnd w:id="56"/>
    </w:p>
    <w:p>
      <w:pPr>
        <w:spacing w:line="560" w:lineRule="exact"/>
        <w:ind w:firstLine="640"/>
        <w:rPr>
          <w:rFonts w:hint="default" w:ascii="Times New Roman" w:hAnsi="Times New Roman" w:eastAsia="方正仿宋_GBK" w:cs="Times New Roman"/>
          <w:b/>
          <w:bCs/>
          <w:sz w:val="32"/>
          <w:szCs w:val="32"/>
        </w:rPr>
      </w:pPr>
      <w:r>
        <w:rPr>
          <w:rFonts w:hint="default" w:ascii="Times New Roman" w:hAnsi="Times New Roman" w:eastAsia="方正仿宋_GBK" w:cs="Times New Roman"/>
          <w:sz w:val="32"/>
          <w:szCs w:val="32"/>
        </w:rPr>
        <w:t>本项目在实施过程中最大的问题是没有建设过同类项目，没有经验借鉴，在资金到位前没有将全部前期工作做完，同时又遇到不可抗力因素影响。</w:t>
      </w:r>
      <w:r>
        <w:rPr>
          <w:rFonts w:hint="default" w:ascii="Times New Roman" w:hAnsi="Times New Roman" w:eastAsia="方正仿宋_GBK" w:cs="Times New Roman"/>
          <w:kern w:val="0"/>
          <w:sz w:val="32"/>
          <w:szCs w:val="32"/>
        </w:rPr>
        <w:t>项目实施的监督管理力度不够；管理制度不健全，遇到的问题无法解决等，据实修改。</w:t>
      </w:r>
    </w:p>
    <w:p>
      <w:pPr>
        <w:pStyle w:val="2"/>
        <w:spacing w:before="0" w:after="0" w:line="560" w:lineRule="exact"/>
        <w:ind w:firstLine="0" w:firstLineChars="0"/>
        <w:jc w:val="left"/>
        <w:rPr>
          <w:rFonts w:hint="default" w:ascii="Times New Roman" w:hAnsi="Times New Roman" w:eastAsia="方正仿宋_GBK" w:cs="Times New Roman"/>
          <w:sz w:val="32"/>
          <w:szCs w:val="32"/>
        </w:rPr>
      </w:pPr>
      <w:bookmarkStart w:id="57" w:name="_Toc67911620"/>
      <w:bookmarkStart w:id="58" w:name="_Toc165277259"/>
      <w:bookmarkStart w:id="59" w:name="_Toc67911619"/>
      <w:r>
        <w:rPr>
          <w:rFonts w:hint="default" w:ascii="Times New Roman" w:hAnsi="Times New Roman" w:eastAsia="方正仿宋_GBK" w:cs="Times New Roman"/>
          <w:sz w:val="32"/>
          <w:szCs w:val="32"/>
        </w:rPr>
        <w:t>六、有关建议</w:t>
      </w:r>
      <w:bookmarkEnd w:id="57"/>
    </w:p>
    <w:bookmarkEnd w:id="58"/>
    <w:p>
      <w:pPr>
        <w:pStyle w:val="2"/>
        <w:spacing w:before="0" w:after="0" w:line="560" w:lineRule="exact"/>
        <w:ind w:firstLine="640"/>
        <w:jc w:val="left"/>
        <w:rPr>
          <w:rFonts w:hint="default" w:ascii="Times New Roman" w:hAnsi="Times New Roman" w:eastAsia="方正仿宋_GBK" w:cs="Times New Roman"/>
          <w:b w:val="0"/>
          <w:bCs w:val="0"/>
          <w:sz w:val="32"/>
          <w:szCs w:val="32"/>
        </w:rPr>
      </w:pPr>
      <w:bookmarkStart w:id="60" w:name="_Toc165277260"/>
      <w:r>
        <w:rPr>
          <w:rFonts w:hint="default" w:ascii="Times New Roman" w:hAnsi="Times New Roman" w:eastAsia="方正仿宋_GBK" w:cs="Times New Roman"/>
          <w:b w:val="0"/>
          <w:bCs w:val="0"/>
          <w:sz w:val="32"/>
          <w:szCs w:val="32"/>
        </w:rPr>
        <w:t>本项目为一次性投入建设项目，为我市首次开展类似建设内容，今后在同类项目中，合理规划项目建设进度，及时支付项目资金，及时验收。项目建设过程中，严格按照相关法律法规及相关财政、采购规定开展建设工作。</w:t>
      </w:r>
    </w:p>
    <w:p>
      <w:pPr>
        <w:pStyle w:val="2"/>
        <w:spacing w:before="0" w:after="0" w:line="560" w:lineRule="exact"/>
        <w:ind w:firstLine="0" w:firstLineChars="0"/>
        <w:jc w:val="left"/>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七、其他需要说明的问题</w:t>
      </w:r>
      <w:bookmarkEnd w:id="59"/>
      <w:bookmarkEnd w:id="60"/>
    </w:p>
    <w:p>
      <w:pPr>
        <w:spacing w:line="560" w:lineRule="exact"/>
        <w:ind w:firstLine="640"/>
        <w:rPr>
          <w:rFonts w:hint="default" w:ascii="Times New Roman" w:hAnsi="Times New Roman" w:eastAsia="方正仿宋_GBK" w:cs="Times New Roman"/>
          <w:kern w:val="44"/>
          <w:sz w:val="32"/>
          <w:szCs w:val="32"/>
        </w:rPr>
      </w:pPr>
      <w:r>
        <w:rPr>
          <w:rFonts w:hint="default" w:ascii="Times New Roman" w:hAnsi="Times New Roman" w:eastAsia="方正仿宋_GBK" w:cs="Times New Roman"/>
          <w:kern w:val="44"/>
          <w:sz w:val="32"/>
          <w:szCs w:val="32"/>
        </w:rPr>
        <w:t>本项目为2022年中央预算内项目，项目资金下达时间为2022年8月4日，资金下达后，遇不可抗力因素，项目整体结转至2023年，项目于2023年完成所有建设内容。</w:t>
      </w:r>
    </w:p>
    <w:sectPr>
      <w:headerReference r:id="rId12" w:type="default"/>
      <w:footerReference r:id="rId13"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宋体">
    <w:altName w:val="宋体"/>
    <w:panose1 w:val="02010600040101010101"/>
    <w:charset w:val="86"/>
    <w:family w:val="auto"/>
    <w:pitch w:val="default"/>
    <w:sig w:usb0="00000000" w:usb1="00000000" w:usb2="00000010" w:usb3="00000000" w:csb0="0004009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560"/>
      <w:jc w:val="center"/>
      <w:rPr>
        <w:rFonts w:ascii="仿宋_GB2312" w:eastAsia="仿宋_GB2312"/>
        <w:sz w:val="21"/>
        <w:szCs w:val="21"/>
      </w:rPr>
    </w:pPr>
    <w:r>
      <w:rPr>
        <w:rFonts w:ascii="仿宋_GB2312" w:eastAsia="仿宋_GB2312"/>
        <w:sz w:val="21"/>
        <w:szCs w:val="21"/>
      </w:rPr>
      <w:fldChar w:fldCharType="begin"/>
    </w:r>
    <w:r>
      <w:rPr>
        <w:rFonts w:ascii="仿宋_GB2312" w:eastAsia="仿宋_GB2312"/>
        <w:sz w:val="21"/>
        <w:szCs w:val="21"/>
      </w:rPr>
      <w:instrText xml:space="preserve">PAGE   \* MERGEFORMAT</w:instrText>
    </w:r>
    <w:r>
      <w:rPr>
        <w:rFonts w:ascii="仿宋_GB2312" w:eastAsia="仿宋_GB2312"/>
        <w:sz w:val="21"/>
        <w:szCs w:val="21"/>
      </w:rPr>
      <w:fldChar w:fldCharType="separate"/>
    </w:r>
    <w:r>
      <w:rPr>
        <w:rFonts w:ascii="仿宋_GB2312" w:eastAsia="仿宋_GB2312"/>
        <w:sz w:val="21"/>
        <w:szCs w:val="21"/>
        <w:lang w:val="zh-CN"/>
      </w:rPr>
      <w:t>12</w:t>
    </w:r>
    <w:r>
      <w:rPr>
        <w:rFonts w:ascii="仿宋_GB2312" w:eastAsia="仿宋_GB2312"/>
        <w:sz w:val="21"/>
        <w:szCs w:val="21"/>
      </w:rPr>
      <w:fldChar w:fldCharType="end"/>
    </w:r>
  </w:p>
  <w:p>
    <w:pPr>
      <w:pStyle w:val="8"/>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560"/>
      <w:jc w:val="center"/>
      <w:rPr>
        <w:rFonts w:ascii="仿宋_GB2312" w:eastAsia="仿宋_GB2312"/>
        <w:sz w:val="21"/>
        <w:szCs w:val="21"/>
      </w:rPr>
    </w:pPr>
    <w:r>
      <w:rPr>
        <w:rFonts w:ascii="仿宋_GB2312" w:eastAsia="仿宋_GB2312"/>
        <w:sz w:val="21"/>
        <w:szCs w:val="21"/>
      </w:rPr>
      <w:fldChar w:fldCharType="begin"/>
    </w:r>
    <w:r>
      <w:rPr>
        <w:rFonts w:ascii="仿宋_GB2312" w:eastAsia="仿宋_GB2312"/>
        <w:sz w:val="21"/>
        <w:szCs w:val="21"/>
      </w:rPr>
      <w:instrText xml:space="preserve">PAGE   \* MERGEFORMAT</w:instrText>
    </w:r>
    <w:r>
      <w:rPr>
        <w:rFonts w:ascii="仿宋_GB2312" w:eastAsia="仿宋_GB2312"/>
        <w:sz w:val="21"/>
        <w:szCs w:val="21"/>
      </w:rPr>
      <w:fldChar w:fldCharType="separate"/>
    </w:r>
    <w:r>
      <w:rPr>
        <w:rFonts w:ascii="仿宋_GB2312" w:eastAsia="仿宋_GB2312"/>
        <w:sz w:val="21"/>
        <w:szCs w:val="21"/>
        <w:lang w:val="zh-CN"/>
      </w:rPr>
      <w:t>23</w:t>
    </w:r>
    <w:r>
      <w:rPr>
        <w:rFonts w:ascii="仿宋_GB2312" w:eastAsia="仿宋_GB2312"/>
        <w:sz w:val="21"/>
        <w:szCs w:val="21"/>
      </w:rPr>
      <w:fldChar w:fldCharType="end"/>
    </w:r>
  </w:p>
  <w:p>
    <w:pPr>
      <w:pStyle w:val="8"/>
      <w:rPr>
        <w:rFonts w:ascii="仿宋_GB2312" w:eastAsia="仿宋_GB2312"/>
        <w:sz w:val="21"/>
        <w:szCs w:val="2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id="0">
    <w:p>
      <w:pPr>
        <w:pStyle w:val="11"/>
        <w:ind w:firstLine="0" w:firstLineChars="0"/>
        <w:jc w:val="both"/>
      </w:pPr>
      <w:r>
        <w:rPr>
          <w:rStyle w:val="17"/>
          <w:rFonts w:ascii="仿宋_GB2312" w:cs="黑体"/>
        </w:rPr>
        <w:footnoteRef/>
      </w:r>
      <w:r>
        <w:rPr>
          <w:rFonts w:ascii="仿宋_GB2312"/>
        </w:rPr>
        <w:t xml:space="preserve"> </w:t>
      </w:r>
      <w:r>
        <w:rPr>
          <w:rFonts w:hint="eastAsia" w:ascii="仿宋_GB231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embedSystemFonts/>
  <w:bordersDoNotSurroundHeader w:val="1"/>
  <w:bordersDoNotSurroundFooter w:val="1"/>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YTc2ZjQxNjk0YjllMDI2ZTJhOWNmMDAwM2Q2NDM1NTgifQ=="/>
  </w:docVars>
  <w:rsids>
    <w:rsidRoot w:val="15A87163"/>
    <w:rsid w:val="00026245"/>
    <w:rsid w:val="00120B8E"/>
    <w:rsid w:val="001A1EAB"/>
    <w:rsid w:val="001D53CB"/>
    <w:rsid w:val="002D2272"/>
    <w:rsid w:val="004B4880"/>
    <w:rsid w:val="00555A80"/>
    <w:rsid w:val="0079644E"/>
    <w:rsid w:val="00856403"/>
    <w:rsid w:val="00906055"/>
    <w:rsid w:val="00997C39"/>
    <w:rsid w:val="009E298E"/>
    <w:rsid w:val="00A0208D"/>
    <w:rsid w:val="00A16097"/>
    <w:rsid w:val="00B1280A"/>
    <w:rsid w:val="00B6756B"/>
    <w:rsid w:val="00CC6FF9"/>
    <w:rsid w:val="00D52E70"/>
    <w:rsid w:val="00F14C97"/>
    <w:rsid w:val="06640499"/>
    <w:rsid w:val="068B5BC3"/>
    <w:rsid w:val="0AF0679F"/>
    <w:rsid w:val="0AFD318D"/>
    <w:rsid w:val="0B0F299D"/>
    <w:rsid w:val="0BED7182"/>
    <w:rsid w:val="0E4958D1"/>
    <w:rsid w:val="120F369D"/>
    <w:rsid w:val="15227E9D"/>
    <w:rsid w:val="15A87163"/>
    <w:rsid w:val="170D2487"/>
    <w:rsid w:val="17DB07D7"/>
    <w:rsid w:val="191F46F3"/>
    <w:rsid w:val="19FD67E3"/>
    <w:rsid w:val="1A1678A4"/>
    <w:rsid w:val="1E48649A"/>
    <w:rsid w:val="1F070103"/>
    <w:rsid w:val="249146F7"/>
    <w:rsid w:val="282A34EB"/>
    <w:rsid w:val="283C39E5"/>
    <w:rsid w:val="2CB82A3D"/>
    <w:rsid w:val="2F2148C9"/>
    <w:rsid w:val="35CD09D3"/>
    <w:rsid w:val="37EA43F2"/>
    <w:rsid w:val="387D0C5A"/>
    <w:rsid w:val="38C22C79"/>
    <w:rsid w:val="39567866"/>
    <w:rsid w:val="3A991213"/>
    <w:rsid w:val="3C591B47"/>
    <w:rsid w:val="3EA947CA"/>
    <w:rsid w:val="41A05B22"/>
    <w:rsid w:val="447C2876"/>
    <w:rsid w:val="44B96AB4"/>
    <w:rsid w:val="4933371F"/>
    <w:rsid w:val="494E5881"/>
    <w:rsid w:val="4A613E31"/>
    <w:rsid w:val="4BE07B8E"/>
    <w:rsid w:val="4CC52826"/>
    <w:rsid w:val="4E2A6FCF"/>
    <w:rsid w:val="4F9B0752"/>
    <w:rsid w:val="4FAB5580"/>
    <w:rsid w:val="544B7B6F"/>
    <w:rsid w:val="552A3C28"/>
    <w:rsid w:val="571B7CCD"/>
    <w:rsid w:val="5B86134A"/>
    <w:rsid w:val="5C0E4165"/>
    <w:rsid w:val="5C89392A"/>
    <w:rsid w:val="5E2D4789"/>
    <w:rsid w:val="6073044A"/>
    <w:rsid w:val="65C77703"/>
    <w:rsid w:val="67A66815"/>
    <w:rsid w:val="68BE2BAE"/>
    <w:rsid w:val="68E63EB3"/>
    <w:rsid w:val="6CDF1345"/>
    <w:rsid w:val="6FD607DD"/>
    <w:rsid w:val="7089151C"/>
    <w:rsid w:val="72B648F6"/>
    <w:rsid w:val="73A8286A"/>
    <w:rsid w:val="74F65277"/>
    <w:rsid w:val="75812F99"/>
    <w:rsid w:val="75EC4F10"/>
    <w:rsid w:val="78947487"/>
    <w:rsid w:val="78AC47D1"/>
    <w:rsid w:val="78C23FF4"/>
    <w:rsid w:val="78D43D28"/>
    <w:rsid w:val="7C1C44A0"/>
    <w:rsid w:val="7C3876A5"/>
    <w:rsid w:val="7D4551F4"/>
    <w:rsid w:val="7F0F5AB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semiHidden="0" w:name="toc 1"/>
    <w:lsdException w:unhideWhenUsed="0" w:uiPriority="99" w:semiHidden="0" w:name="toc 2"/>
    <w:lsdException w:qFormat="1" w:unhideWhenUsed="0"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qFormat="1" w:unhideWhenUsed="0"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b/>
      <w:bCs/>
      <w:kern w:val="44"/>
      <w:sz w:val="44"/>
      <w:szCs w:val="44"/>
    </w:rPr>
  </w:style>
  <w:style w:type="paragraph" w:styleId="3">
    <w:name w:val="heading 2"/>
    <w:basedOn w:val="1"/>
    <w:next w:val="1"/>
    <w:link w:val="19"/>
    <w:qFormat/>
    <w:uiPriority w:val="99"/>
    <w:pPr>
      <w:keepNext/>
      <w:keepLines/>
      <w:spacing w:before="260" w:after="260" w:line="416" w:lineRule="auto"/>
      <w:outlineLvl w:val="1"/>
    </w:pPr>
    <w:rPr>
      <w:rFonts w:ascii="Calibri Light" w:hAnsi="Calibri Light" w:eastAsia="宋体" w:cs="Times New Roman"/>
      <w:b/>
      <w:bCs/>
      <w:sz w:val="32"/>
      <w:szCs w:val="32"/>
    </w:rPr>
  </w:style>
  <w:style w:type="paragraph" w:styleId="4">
    <w:name w:val="heading 3"/>
    <w:basedOn w:val="1"/>
    <w:next w:val="1"/>
    <w:link w:val="20"/>
    <w:qFormat/>
    <w:uiPriority w:val="99"/>
    <w:pPr>
      <w:keepNext/>
      <w:keepLines/>
      <w:spacing w:before="260" w:after="260" w:line="416" w:lineRule="auto"/>
      <w:outlineLvl w:val="2"/>
    </w:pPr>
    <w:rPr>
      <w:b/>
      <w:bCs/>
      <w:sz w:val="32"/>
      <w:szCs w:val="32"/>
    </w:rPr>
  </w:style>
  <w:style w:type="character" w:default="1" w:styleId="14">
    <w:name w:val="Default Paragraph Font"/>
    <w:semiHidden/>
    <w:unhideWhenUsed/>
    <w:uiPriority w:val="1"/>
  </w:style>
  <w:style w:type="table" w:default="1" w:styleId="13">
    <w:name w:val="Normal Table"/>
    <w:semiHidden/>
    <w:unhideWhenUsed/>
    <w:uiPriority w:val="99"/>
    <w:tblPr>
      <w:tblLayout w:type="fixed"/>
      <w:tblCellMar>
        <w:top w:w="0" w:type="dxa"/>
        <w:left w:w="108" w:type="dxa"/>
        <w:bottom w:w="0" w:type="dxa"/>
        <w:right w:w="108" w:type="dxa"/>
      </w:tblCellMar>
    </w:tblPr>
  </w:style>
  <w:style w:type="paragraph" w:styleId="5">
    <w:name w:val="annotation text"/>
    <w:basedOn w:val="1"/>
    <w:link w:val="21"/>
    <w:qFormat/>
    <w:uiPriority w:val="99"/>
    <w:pPr>
      <w:jc w:val="left"/>
    </w:pPr>
  </w:style>
  <w:style w:type="paragraph" w:styleId="6">
    <w:name w:val="toc 3"/>
    <w:basedOn w:val="1"/>
    <w:next w:val="1"/>
    <w:qFormat/>
    <w:uiPriority w:val="99"/>
    <w:pPr>
      <w:ind w:left="840" w:leftChars="400"/>
    </w:pPr>
  </w:style>
  <w:style w:type="paragraph" w:styleId="7">
    <w:name w:val="Balloon Text"/>
    <w:basedOn w:val="1"/>
    <w:link w:val="26"/>
    <w:semiHidden/>
    <w:qFormat/>
    <w:uiPriority w:val="99"/>
    <w:rPr>
      <w:sz w:val="18"/>
      <w:szCs w:val="18"/>
    </w:rPr>
  </w:style>
  <w:style w:type="paragraph" w:styleId="8">
    <w:name w:val="footer"/>
    <w:basedOn w:val="1"/>
    <w:link w:val="22"/>
    <w:qFormat/>
    <w:uiPriority w:val="99"/>
    <w:pPr>
      <w:tabs>
        <w:tab w:val="center" w:pos="4153"/>
        <w:tab w:val="right" w:pos="8306"/>
      </w:tabs>
      <w:snapToGrid w:val="0"/>
      <w:ind w:firstLine="0" w:firstLineChars="0"/>
      <w:jc w:val="left"/>
    </w:pPr>
    <w:rPr>
      <w:rFonts w:eastAsia="宋体" w:cs="Times New Roman"/>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ind w:firstLine="0" w:firstLineChars="0"/>
      <w:jc w:val="center"/>
    </w:pPr>
    <w:rPr>
      <w:rFonts w:eastAsia="宋体" w:cs="Times New Roman"/>
      <w:sz w:val="18"/>
      <w:szCs w:val="18"/>
    </w:rPr>
  </w:style>
  <w:style w:type="paragraph" w:styleId="10">
    <w:name w:val="toc 1"/>
    <w:basedOn w:val="1"/>
    <w:next w:val="1"/>
    <w:qFormat/>
    <w:uiPriority w:val="99"/>
  </w:style>
  <w:style w:type="paragraph" w:styleId="11">
    <w:name w:val="footnote text"/>
    <w:basedOn w:val="1"/>
    <w:link w:val="24"/>
    <w:semiHidden/>
    <w:qFormat/>
    <w:uiPriority w:val="99"/>
    <w:pPr>
      <w:snapToGrid w:val="0"/>
      <w:jc w:val="left"/>
    </w:pPr>
    <w:rPr>
      <w:sz w:val="18"/>
      <w:szCs w:val="18"/>
    </w:rPr>
  </w:style>
  <w:style w:type="paragraph" w:styleId="12">
    <w:name w:val="toc 2"/>
    <w:basedOn w:val="1"/>
    <w:next w:val="1"/>
    <w:uiPriority w:val="99"/>
    <w:pPr>
      <w:ind w:left="420" w:leftChars="200"/>
    </w:pPr>
  </w:style>
  <w:style w:type="character" w:styleId="15">
    <w:name w:val="Hyperlink"/>
    <w:basedOn w:val="14"/>
    <w:qFormat/>
    <w:uiPriority w:val="99"/>
    <w:rPr>
      <w:rFonts w:cs="Times New Roman"/>
      <w:color w:val="0026E5"/>
      <w:u w:val="single"/>
    </w:rPr>
  </w:style>
  <w:style w:type="character" w:styleId="16">
    <w:name w:val="annotation reference"/>
    <w:basedOn w:val="14"/>
    <w:semiHidden/>
    <w:qFormat/>
    <w:uiPriority w:val="99"/>
    <w:rPr>
      <w:rFonts w:cs="Times New Roman"/>
      <w:sz w:val="21"/>
      <w:szCs w:val="21"/>
    </w:rPr>
  </w:style>
  <w:style w:type="character" w:styleId="17">
    <w:name w:val="footnote reference"/>
    <w:basedOn w:val="14"/>
    <w:semiHidden/>
    <w:qFormat/>
    <w:uiPriority w:val="99"/>
    <w:rPr>
      <w:rFonts w:cs="Times New Roman"/>
      <w:vertAlign w:val="superscript"/>
    </w:rPr>
  </w:style>
  <w:style w:type="character" w:customStyle="1" w:styleId="18">
    <w:name w:val="标题 1 Char"/>
    <w:basedOn w:val="14"/>
    <w:link w:val="2"/>
    <w:qFormat/>
    <w:uiPriority w:val="9"/>
    <w:rPr>
      <w:rFonts w:ascii="Calibri" w:hAnsi="Calibri" w:eastAsia="仿宋_GB2312" w:cs="黑体"/>
      <w:b/>
      <w:bCs/>
      <w:kern w:val="44"/>
      <w:sz w:val="44"/>
      <w:szCs w:val="44"/>
    </w:rPr>
  </w:style>
  <w:style w:type="character" w:customStyle="1" w:styleId="19">
    <w:name w:val="标题 2 Char"/>
    <w:basedOn w:val="14"/>
    <w:link w:val="3"/>
    <w:semiHidden/>
    <w:qFormat/>
    <w:uiPriority w:val="9"/>
    <w:rPr>
      <w:rFonts w:asciiTheme="majorHAnsi" w:hAnsiTheme="majorHAnsi" w:eastAsiaTheme="majorEastAsia" w:cstheme="majorBidi"/>
      <w:b/>
      <w:bCs/>
      <w:sz w:val="32"/>
      <w:szCs w:val="32"/>
    </w:rPr>
  </w:style>
  <w:style w:type="character" w:customStyle="1" w:styleId="20">
    <w:name w:val="标题 3 Char"/>
    <w:basedOn w:val="14"/>
    <w:link w:val="4"/>
    <w:semiHidden/>
    <w:qFormat/>
    <w:uiPriority w:val="9"/>
    <w:rPr>
      <w:rFonts w:ascii="Calibri" w:hAnsi="Calibri" w:eastAsia="仿宋_GB2312" w:cs="黑体"/>
      <w:b/>
      <w:bCs/>
      <w:sz w:val="32"/>
      <w:szCs w:val="32"/>
    </w:rPr>
  </w:style>
  <w:style w:type="character" w:customStyle="1" w:styleId="21">
    <w:name w:val="批注文字 Char"/>
    <w:basedOn w:val="14"/>
    <w:link w:val="5"/>
    <w:semiHidden/>
    <w:qFormat/>
    <w:uiPriority w:val="99"/>
    <w:rPr>
      <w:rFonts w:ascii="Calibri" w:hAnsi="Calibri" w:eastAsia="仿宋_GB2312" w:cs="黑体"/>
      <w:sz w:val="28"/>
    </w:rPr>
  </w:style>
  <w:style w:type="character" w:customStyle="1" w:styleId="22">
    <w:name w:val="页脚 Char"/>
    <w:basedOn w:val="14"/>
    <w:link w:val="8"/>
    <w:semiHidden/>
    <w:qFormat/>
    <w:uiPriority w:val="99"/>
    <w:rPr>
      <w:rFonts w:ascii="Calibri" w:hAnsi="Calibri" w:eastAsia="仿宋_GB2312" w:cs="黑体"/>
      <w:sz w:val="18"/>
      <w:szCs w:val="18"/>
    </w:rPr>
  </w:style>
  <w:style w:type="character" w:customStyle="1" w:styleId="23">
    <w:name w:val="页眉 Char"/>
    <w:basedOn w:val="14"/>
    <w:link w:val="9"/>
    <w:semiHidden/>
    <w:qFormat/>
    <w:uiPriority w:val="99"/>
    <w:rPr>
      <w:rFonts w:ascii="Calibri" w:hAnsi="Calibri" w:eastAsia="仿宋_GB2312" w:cs="黑体"/>
      <w:sz w:val="18"/>
      <w:szCs w:val="18"/>
    </w:rPr>
  </w:style>
  <w:style w:type="character" w:customStyle="1" w:styleId="24">
    <w:name w:val="脚注文本 Char"/>
    <w:basedOn w:val="14"/>
    <w:link w:val="11"/>
    <w:semiHidden/>
    <w:qFormat/>
    <w:uiPriority w:val="99"/>
    <w:rPr>
      <w:rFonts w:ascii="Calibri" w:hAnsi="Calibri" w:eastAsia="仿宋_GB2312" w:cs="黑体"/>
      <w:sz w:val="18"/>
      <w:szCs w:val="18"/>
    </w:rPr>
  </w:style>
  <w:style w:type="paragraph" w:customStyle="1" w:styleId="25">
    <w:name w:val="TOC Heading1"/>
    <w:basedOn w:val="2"/>
    <w:next w:val="1"/>
    <w:qFormat/>
    <w:uiPriority w:val="99"/>
    <w:pPr>
      <w:widowControl/>
      <w:spacing w:before="240" w:after="0" w:line="259" w:lineRule="auto"/>
      <w:ind w:firstLine="0" w:firstLineChars="0"/>
      <w:jc w:val="left"/>
      <w:outlineLvl w:val="9"/>
    </w:pPr>
    <w:rPr>
      <w:rFonts w:ascii="Calibri Light" w:hAnsi="Calibri Light" w:eastAsia="宋体" w:cs="Times New Roman"/>
      <w:b w:val="0"/>
      <w:bCs w:val="0"/>
      <w:color w:val="2D53A0"/>
      <w:kern w:val="0"/>
      <w:sz w:val="32"/>
      <w:szCs w:val="32"/>
    </w:rPr>
  </w:style>
  <w:style w:type="character" w:customStyle="1" w:styleId="26">
    <w:name w:val="批注框文本 Char"/>
    <w:basedOn w:val="14"/>
    <w:link w:val="7"/>
    <w:semiHidden/>
    <w:qFormat/>
    <w:uiPriority w:val="99"/>
    <w:rPr>
      <w:rFonts w:ascii="Calibri" w:hAnsi="Calibri" w:eastAsia="仿宋_GB2312" w:cs="黑体"/>
      <w:sz w:val="0"/>
      <w:szCs w:val="0"/>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5.xml"/><Relationship Id="rId11" Type="http://schemas.openxmlformats.org/officeDocument/2006/relationships/footer" Target="footer4.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11114</Words>
  <Characters>3696</Characters>
  <Lines>30</Lines>
  <Paragraphs>29</Paragraphs>
  <TotalTime>36</TotalTime>
  <ScaleCrop>false</ScaleCrop>
  <LinksUpToDate>false</LinksUpToDate>
  <CharactersWithSpaces>14781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2024-05-13T10:02:00Z</dcterms:created>
  <dc:creator>噼里啪啦bong</dc:creator>
  <cp:lastModifiedBy>Administrator</cp:lastModifiedBy>
  <cp:lastPrinted>2024-05-14T10:01:00Z</cp:lastPrinted>
  <dcterms:modified xsi:type="dcterms:W3CDTF">2024-08-20T04:51:06Z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D4AC2D3505F54ED0ACA47D2130A40A2D_11</vt:lpwstr>
  </property>
</Properties>
</file>