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东二环路燕北段主线及辅道完善工程项目征收费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新疆乌鲁木齐市政府投资城市基础设施建设中心</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新疆乌鲁木齐市政府投资城市基础设施建设中心</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周磊</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2024年05月10日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该项目实施背景：</w:t>
        <w:br/>
        <w:t>东二环是乌鲁木齐市“三环十五射”快速路交通规划的重要环线，连接米东区、水磨沟区、天山区和沙依巴克区，对改善城市交通拥堵状况有重大意义。东二环主线全场41.775公里，由于道路转需穿越新疆军区牛奶场用地，在河滩路以西形成321米的断点，影响了东二环路的全线贯通。主线断点起点接东二环路燕北高架桥雅山路断点，向西上跨雅山路，穿越军区牛奶场，上跨兰新铁路，继续向西以路基形式下穿兰新高铁，在兰新高铁以西仓房沟锂盐厂位置接入已建东二环路主线，长度1265m；辅道起点接雅山路与燕北立交交叉口，向西穿越军区牛奶场，至兰新铁路坡脚，折向南，沿山体坡脚布线，下穿兰新高铁和兰新铁路，在仓房沟锂盐厂西侧，接回主线，RF辅道路线全长4978m。建设内容包括道路、桥梁、防护排水、交通、照明等工程。 经乌政函[2021]4号批复，对该部分用地进行征收。</w:t>
        <w:br/>
        <w:t>项目2023年的主要实施内容：①房屋征收14600平方米;②土地征收60亩;</w:t>
        <w:br/>
        <w:t>2023年当年完成情况：①房屋征收14600平方米;②土地征收60亩;</w:t>
        <w:br/>
        <w:t>2.资金投入和使用情况</w:t>
        <w:br/>
        <w:t>该项目资金投入情况：经《关于拨付东二环燕北段主线及辅道完善工程用地征收资金的通知》（乌财建〔2023〕144号）文件批准，项目系2023年本级资金，共安排预算5744万元，于2023年年初部分预算批复项目，无年中资金调整情况，资金于2023年5月29日到位后当天支付。</w:t>
        <w:br/>
        <w:t></w:t>
        <w:br/>
        <w:t>该项目资金使用情况：本次预计拨款5744万元，经测算用于房屋征收补偿费约2100万元，土地征收补偿费约3444万元,附属物补偿费约200万元.预算已全部执行，预算执行率为100%。</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该项目总体绩效目标：完成房屋征收工作，为后续乌鲁木齐市东二环路燕北段主线及辅道完善工程做好前期施工准备。</w:t>
        <w:br/>
        <w:t>该项目阶段性目标为：在2023年计划房屋征收大于等于14600平方米、土地征收大于等于60亩。</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1.绩效评价完整性</w:t>
        <w:br/>
        <w:t>该项目的绩效目标为完成房屋征收14600平方米、土地征收60亩，房屋征收预算投入2100万元、土地征收预算投入3444万元、附属物补偿200万元，均能够通过绩效评价指标体系完整地体现。</w:t>
        <w:br/>
        <w:t>其次，依据项目特点，根据项目实际情况编写项目征收进度计划，合理征收时间，提高资金使用效率，更好的完成项目目标任务。</w:t>
        <w:br/>
        <w:t>最后，针对项目特点，绩效评价工作，对项目采用查阅有关佐证资料，结合现场抽样及延伸调查，重点关注预算及绩效目标的匹配情况、项目资金的管理和使用等数据采集。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鲁木齐市东二环路燕北段主线及辅道完善工程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（1）绩效评价的对象：乌鲁木齐市东二环路燕北段主线及辅道完善工程项目</w:t>
        <w:br/>
        <w:t>4.绩效评价范围</w:t>
        <w:br/>
        <w:t>1.时间范围：2023年1月1日至2023年12月31日。</w:t>
        <w:br/>
        <w:t>2.项目范围：乌鲁木齐市东二环路燕北段主线及辅道完善工程项目正常参与绩效评价，项目已完成完成房屋征收14600平方米、土地征收60亩，取得了良好的社会效益，执行率100%。评价小组根据项目绩效目标，查阅有关佐证资料，结合现场抽样调查及延伸评价等方式开展此次评价，重点关注和评价项目预算和绩效目标的匹配情况、项目资金的管理和使用情况、项目实施和监督情况以及项目产生的实际效益等。具体而言，通过前期准备、材料审核分析、现场核查评价、综合分析评价及报告撰写，评价项目实施情况，展现资金使用效益。</w:t>
        <w:br/>
        <w:t>结合项目特点，制定符合项目实际的绩效评价指标体系及评分标准，通过数据采集、问卷调查及访谈等形式，对2023年乌鲁木齐市东二环路燕北段主线及辅道完善工程项目进行客观评价，最终评分结果为：总分为100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房屋征收面积（含附属物）</w:t>
        <w:br/>
        <w:t>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土地征收面积（含附属物）</w:t>
        <w:br/>
        <w:t>	</w:t>
        <w:br/>
        <w:t>		</w:t>
        <w:br/>
        <w:t>	</w:t>
        <w:br/>
        <w:t>产出	产出质量	征收完成率</w:t>
        <w:br/>
        <w:t>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w:t>
        <w:br/>
        <w:t>	征收按时完成率	</w:t>
        <w:br/>
        <w:t></w:t>
        <w:br/>
        <w:t>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房屋征收补偿费</w:t>
        <w:br/>
        <w:t>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土地征收补偿费		</w:t>
        <w:br/>
        <w:t>		附属物补偿费		</w:t>
        <w:br/>
        <w:t>效益	社会效益指标	完善乌鲁木齐路网格局</w:t>
        <w:br/>
        <w:t>项目实施所产生的效益。	项目实施所产生的社会效益、经济效益、生态效益、可持续影响等。可根据项目实际情况有选择地设置和细化。</w:t>
        <w:br/>
        <w:t>	</w:t>
        <w:br/>
        <w:t></w:t>
        <w:br/>
        <w:t>	</w:t>
        <w:br/>
        <w:t></w:t>
        <w:br/>
        <w:t>满意度指标完成情况分析	满意度指标	征收对象满意度</w:t>
        <w:br/>
        <w:t>社会公众或服务对象对项目实施效果的满意程度。	社会公众或服务对象是指因该项目实施而受到影响的部门（单位）、群体或个人。一般采取社会调查的方式。</w:t>
        <w:br/>
        <w:t></w:t>
        <w:br/>
        <w:t></w:t>
        <w:br/>
        <w:t></w:t>
        <w:br/>
        <w:t>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主线桥梁为乌鲁木齐市首个上跨既有线铁路转体桥梁）的特点，本次评价主要采用成本效益分析法和比较法，对项目总预算和明细预算的内容、标准、计划进行了经济合理的深入分析，用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？《关于拨付东二环燕北段主线及辅道完善工程用地征收资金的通知》（乌财建〔2023〕144号）</w:t>
        <w:br/>
        <w:t>？《关于协调解决东二环路燕北段主线及辅道完善工程用地征收资金的请示》（乌建发〔2023〕77号）</w:t>
        <w:br/>
        <w:t>？《乌鲁木齐市财政专项资金使用跟踪反馈管理暂行办法》（乌财预〔2018〕41号）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乌鲁木齐市东二环路燕北段主线及辅道完善工程项目进行客观评价，最终评分结果为：总分为100分，绩效评级为“优” 。</w:t>
        <w:br/>
        <w:t>项目各部分权重和绩效分值如附表所示：</w:t>
        <w:br/>
        <w:t xml:space="preserve">  项目各部分权重和绩效分值</w:t>
        <w:br/>
        <w:t>一级指标	二级指标	三级指标	分值	得分	得分率</w:t>
        <w:br/>
        <w:t>决策	项目立项	立项依据充分性	4</w:t>
        <w:br/>
        <w:t>4	100%</w:t>
        <w:br/>
        <w:t>		立项程序规范性	4</w:t>
        <w:br/>
        <w:t>4	100%</w:t>
        <w:br/>
        <w:t>	绩效目标	绩效目标合理性	3</w:t>
        <w:br/>
        <w:t>3	100%</w:t>
        <w:br/>
        <w:t>		绩效指标明确性	3</w:t>
        <w:br/>
        <w:t>3	100%</w:t>
        <w:br/>
        <w:t>	资金投入	预算编制科学性	3</w:t>
        <w:br/>
        <w:t>3	100%</w:t>
        <w:br/>
        <w:t>		资金分配合理性	3</w:t>
        <w:br/>
        <w:t>3	100%</w:t>
        <w:br/>
        <w:t>过程	资金管理	资金到位率	5</w:t>
        <w:br/>
        <w:t>5	100%</w:t>
        <w:br/>
        <w:t>		预算执行率	5</w:t>
        <w:br/>
        <w:t>5</w:t>
        <w:br/>
        <w:t>100%</w:t>
        <w:br/>
        <w:t>		资金使用合规性	3</w:t>
        <w:br/>
        <w:t>3	100%</w:t>
        <w:br/>
        <w:t>	组织实施	管理制度健全性	3</w:t>
        <w:br/>
        <w:t>3	100%</w:t>
        <w:br/>
        <w:t>		制度执行有效性	4</w:t>
        <w:br/>
        <w:t>4	100%</w:t>
        <w:br/>
        <w:t>产出	产出数量	房屋征收面积（含附属物）	5</w:t>
        <w:br/>
        <w:t>5</w:t>
        <w:br/>
        <w:t>100%</w:t>
        <w:br/>
        <w:t>		土地征收面积（含附属物）	5</w:t>
        <w:br/>
        <w:t>5</w:t>
        <w:br/>
        <w:t>100%</w:t>
        <w:br/>
        <w:t>		</w:t>
        <w:br/>
        <w:t></w:t>
        <w:br/>
        <w:t>	</w:t>
        <w:br/>
        <w:t>		</w:t>
        <w:br/>
        <w:t></w:t>
        <w:br/>
        <w:t>	</w:t>
        <w:br/>
        <w:t>	产出质量	征收完成率</w:t>
        <w:br/>
        <w:t>5</w:t>
        <w:br/>
        <w:t>5</w:t>
        <w:br/>
        <w:t>100%</w:t>
        <w:br/>
        <w:t>	产出时效	征收完成及时率</w:t>
        <w:br/>
        <w:t>5</w:t>
        <w:br/>
        <w:t>5	100%</w:t>
        <w:br/>
        <w:t>			</w:t>
        <w:br/>
        <w:t>	</w:t>
        <w:br/>
        <w:t>	产出成本	房屋征收补偿费	5</w:t>
        <w:br/>
        <w:t>5</w:t>
        <w:br/>
        <w:t>100%</w:t>
        <w:br/>
        <w:t>		土地征收补偿费	10	10	100%</w:t>
        <w:br/>
        <w:t>		附属物补偿费	5</w:t>
        <w:br/>
        <w:t>5</w:t>
        <w:br/>
        <w:t>100%</w:t>
        <w:br/>
        <w:t>效益	项目效益	完善乌鲁木齐路网格局</w:t>
        <w:br/>
        <w:t>10</w:t>
        <w:br/>
        <w:t>10</w:t>
        <w:br/>
        <w:t>100%</w:t>
        <w:br/>
        <w:t>		</w:t>
        <w:br/>
        <w:t></w:t>
        <w:br/>
        <w:t>	</w:t>
        <w:br/>
        <w:t>满意度指标完成情况分析	满意度指标	征收对象满意度</w:t>
        <w:br/>
        <w:t>10	10	100%</w:t>
        <w:br/>
        <w:t>（二）主要绩效</w:t>
        <w:br/>
        <w:t>该项目资金区财政及时拨付，单位在此次评价期间内，有序完成设定目标的部分工作任务，计划完成房屋征收大于等于14600平方米、土地征收大于等于60亩，实际完成房屋征收14600平方米、土地征收60亩，确保了项目后续工程有序实施。</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1.项目立项</w:t>
        <w:br/>
        <w:t>立项依据充分性：项目立项符合政府投资条例要求。同时，我单位负责承担乌鲁木齐市政府投资及融资的大、中型市政基础设施工程项目(主要为城市道路、桥梁、地下管线、绿化、照明、交通工程等)的建设管理工作，属于部门履职所需。此外，本项目属于市本级财政支持范围，符合中央、地方事权支出责任划分原则。因此，立项依据充分，得4分。</w:t>
        <w:br/>
        <w:t>立项程序规范性: 项目按照规定的预算管理制度申请设立，根据《关于拨付东二环燕北段主线及辅道完善工程用地征收资金的通知》（乌财建〔2023〕144号）拨付资金，材料符合相关要求，故立项程序规范，得4分。</w:t>
        <w:br/>
        <w:t>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10分。</w:t>
        <w:br/>
        <w:t>绩效目标明确性：其中，目标已细化为具体的绩效指标完成房屋征收面积&lt;=14600平方米、土地征收面积&lt;=60亩、征收完成率&gt;=95%、房屋征收补偿费&lt;=2100万元、土地征收补偿费&lt;=3444万元、附属物补偿费&lt;=200万元、完工后有效完善乌鲁木齐路网格局。各项指标均以政府文件、签的合同进行佐证，并与当年项目年度计划相对应，故绩效目标明确性指标得分10分。</w:t>
        <w:br/>
        <w:t>综上，该指标满分10分，得分10分。</w:t>
        <w:br/>
        <w:t>3.资金投入</w:t>
        <w:br/>
        <w:t>预算编制科学性：经实地查勘，乌鲁木齐东二环辅道道路工程征收项目涉及的新疆军区牛奶厂房地产及附属设施，其中房产45栋，建筑面积为19508.16平方米，多为一层平房，建筑结构为钢结构、砖混、混合、砖木、彩钢等，现状用途为仓储、汽车展厅、库房、临时宿舍等，水、电、暖等基础设施齐全，另有围墙、树木、地坪、彩板房等附属物。故经过第三方具有房地产评估资质的评估机构，采用成本法出具土地评估报告进行测算，经测算用于房屋征收补偿费约2100万元，土地征收补偿费约3444万元,附属物补偿费约200万元。故预算编制科学性指标得分3分。</w:t>
        <w:br/>
        <w:t></w:t>
        <w:br/>
        <w:t>资金分配合理性： 根据《关于拨付东二环燕北段主线及辅道完善工程用地征收资金的通知》（乌财建〔2023〕144号），该部分资金为财政专项资金，我单位以征收款性质全额拨付给沙依巴克区房屋征收与补偿管理办公室。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1.资金管理</w:t>
        <w:br/>
        <w:t>资金到位率：该项目年初部门预算批复数为5744万元，财政于2023年5月29日拨付项目资金5744万元，我单位于当日全额支付沙依巴克区房屋征收与补偿管理办公室。资金到位率为100%，故资金到位率指标得分5分。</w:t>
        <w:br/>
        <w:t></w:t>
        <w:br/>
        <w:t>预算执行率：财政于2023年5月29日拨付项目资金5744万元我单位于当日全额支付给沙依巴克区房屋征收与补偿管理办公室。故预算执行率得分为5分。</w:t>
        <w:br/>
        <w:t></w:t>
        <w:br/>
        <w:t>资金使用合规性：本项目资金的使用符合《乌鲁木齐市政府投资城市基础设施中心支出业务管理办法》。同时，资金的拨付要按照《乌鲁木齐市政府投资城市基础设施建设中心工程款支付管理制度》履行支付审批程序，并办理领导会签、财务支付的相应手续，符合项目预算批复或合同规定的用途，不存在截留、挤占、挪用、虚列支出等情况。故资金使用合规性得分为3分。</w:t>
        <w:br/>
        <w:t>综上，该指标满分13分，得分13分。</w:t>
        <w:br/>
        <w:t>2.组织实施</w:t>
        <w:br/>
        <w:t>管理制度健全性：我单位已制定相应的《乌鲁木齐市政府投资城市基础设施建设中心招投标工作管理制度》、《乌鲁木齐市政府投资城市基础设施建设中心工程预结算审核管理制度》、《乌鲁木齐市政府投资城市基础设施建设中心资金管理制度》和《乌鲁木齐市政府投资城市基础设施建设中心支出业务管理办法》，且制度合法、合规、完整，为项目顺利实施提供重要保障。故管理制度健全性得分为3分。</w:t>
        <w:br/>
        <w:t>制度执行有效性：根据评价小组核查情况，我单位严格遵守相关法律法规和相关管理规定，整体管理合理有序，项目完成后，及时将会计凭证、财务票据等相关资料分类归档，制度执行有效。故制度执行有效性指标得分4分。</w:t>
        <w:br/>
        <w:t>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项目产出指标由4个二级指标和7个三级指标构成，权重为40分，实际得分40分。</w:t>
        <w:br/>
        <w:t>1.产出数量</w:t>
        <w:br/>
        <w:t>数量指标“房屋征收面积（含附属物）”的目标值是14600平方米，2023年度我单位实际完成14600平方米，完成目标</w:t>
        <w:br/>
        <w:t>数量指标“土地征收面积（含附属物）”的目标值60亩，2023年度我单位实际完成60亩，完成目标</w:t>
        <w:br/>
        <w:t>实际完成率：100%，故实际完成率得分为10分。</w:t>
        <w:br/>
        <w:t>2.产出质量</w:t>
        <w:br/>
        <w:t>征收完成率：2023年度我单位实际完成100%,征收后场地达到三通一平条件，质量达标率得分为5分。</w:t>
        <w:br/>
        <w:t>3.	产出时效</w:t>
        <w:br/>
        <w:t>征收工作完成及时率：本项征收工作计划于2023年完成，实际完成时间为2023年6月，征收工作完成及时，产出时效得分5分。</w:t>
        <w:br/>
        <w:t>4.产出成本</w:t>
        <w:br/>
        <w:t>房屋征收补偿费：目标值是&lt;=2100万元，2023年度我单位实际完成2100万元,房屋征收补偿费得分为5分</w:t>
        <w:br/>
        <w:t>土地征收补偿费：目标值是&lt;=3444万元，2023年度我单位实际完成3444万元,土地征收补偿费得分为10分</w:t>
        <w:br/>
        <w:t>附属物补偿费：目标值是&lt;=200万元，2023年度我单位实际完成200万元,附属物补偿费得分为5分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项目效益指标由1个二级指标和1个三级指标构成，权重为10分，实际得分10分。 </w:t>
        <w:br/>
        <w:t>1.项目效益</w:t>
        <w:br/>
        <w:t>（1）实施效益</w:t>
        <w:br/>
        <w:t>经济效益指标：不适用。 </w:t>
        <w:br/>
        <w:t>社会效益指标：评价指标“完善乌鲁木齐路网格局”，本项目的实施完成后东二环路燕北段主线施工全线贯通，东二环道路是我市“两横两纵、三环多射”骨架路网的重要组成部分，是乌鲁木齐市环城交通主动脉，承载全市36%的交通量，东二环路主线通车缩短了市民的出行时间，为乌市人民出行提供极其便利的交通条件。指标值：完工后有效完善，实际完成值：完工后有效完善。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征收对象满意度：满意度指标，指标值：≥90%，实际完成值：≥95%。通过设置问卷调查的方式进行考评评价，共计调查样本总量为1个样本，有效调查问卷1份。其中，统计“满意度指标”的平均值为100%。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本项目作为自治区和乌鲁木齐市重点项目，具有乌鲁木齐市政工程首个转体桥项目，施工难度大，我单位为实现2023年主线通车目标任务，从实际出发，运用网络计划流水作业法，合理安排施工的程序和顺序，做到布局合理、突出重点、全面展开；正确选用施工方法、科学组织、均衡生产。在实事求是的基础上，力求技术先进、科学合理和经济适用；在确保工程质量标准的前提下，积极采用新技术、新工艺、新设备、新材料和新方法。做好人力、物力、机械综合调配，组织均衡生产。快速展开征地拆迁工作，完成房屋征收14600平方米、土地征收60亩，征收完成率达到100%。为实现2023年主线通车打下坚实基础，增强周边通车能力，激发区域活力提供强有力的支撑等等。</w:t>
        <w:br/>
        <w:t></w:t>
        <w:br/>
        <w:t>（二）存在的问题及原因分析</w:t>
        <w:br/>
        <w:t>由我单位承建的乌鲁木齐市东二环路燕北段主线及辅道完善工程，2023年10月完成主线通车，因后续工程资金不到位，辅道工程暂无法继续施工。东二环路燕北段道路网无法全部完善</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