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0" w:firstLineChars="0"/>
        <w:rPr>
          <w:rFonts w:hint="eastAsia" w:ascii="Times New Roman" w:hAnsi="Times New Roman" w:eastAsia="黑体" w:cs="Times New Roman"/>
          <w:b/>
          <w:kern w:val="0"/>
          <w:sz w:val="50"/>
          <w:szCs w:val="50"/>
          <w:lang w:eastAsia="zh-CN" w:bidi="en-US"/>
        </w:rPr>
      </w:pPr>
      <w:bookmarkStart w:id="66" w:name="_GoBack"/>
      <w:bookmarkEnd w:id="66"/>
    </w:p>
    <w:p>
      <w:pPr>
        <w:spacing w:line="480" w:lineRule="auto"/>
        <w:ind w:firstLine="0" w:firstLineChars="0"/>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before="120" w:after="120" w:line="480" w:lineRule="auto"/>
        <w:ind w:firstLine="0" w:firstLineChars="0"/>
        <w:jc w:val="center"/>
        <w:rPr>
          <w:rFonts w:ascii="仿宋_GB2312" w:hAnsi="Arial"/>
          <w:b/>
          <w:sz w:val="44"/>
          <w:szCs w:val="44"/>
        </w:rPr>
      </w:pPr>
      <w:r>
        <w:rPr>
          <w:rFonts w:hint="eastAsia" w:ascii="仿宋_GB2312" w:hAnsi="Arial"/>
          <w:b/>
          <w:sz w:val="44"/>
          <w:szCs w:val="44"/>
        </w:rPr>
        <w:t>财政项目支出绩效评价报告</w:t>
      </w: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仿宋_GB2312" w:hAnsi="Times New Roman" w:cs="Times New Roman"/>
          <w:kern w:val="0"/>
          <w:sz w:val="30"/>
          <w:szCs w:val="30"/>
          <w:lang w:bidi="en-US"/>
        </w:rPr>
      </w:pPr>
    </w:p>
    <w:p>
      <w:pPr>
        <w:spacing w:line="480" w:lineRule="auto"/>
        <w:ind w:left="2877" w:leftChars="456" w:hanging="1600" w:hangingChars="500"/>
        <w:jc w:val="left"/>
        <w:rPr>
          <w:rFonts w:hint="default" w:ascii="仿宋_GB2312" w:hAnsi="Times New Roman" w:eastAsia="仿宋_GB2312" w:cs="Times New Roman"/>
          <w:kern w:val="0"/>
          <w:sz w:val="32"/>
          <w:szCs w:val="32"/>
          <w:lang w:val="en-US" w:eastAsia="zh-CN" w:bidi="en-US"/>
        </w:rPr>
      </w:pPr>
      <w:r>
        <w:rPr>
          <w:rFonts w:hint="eastAsia" w:ascii="仿宋_GB2312" w:hAnsi="Times New Roman" w:cs="Times New Roman"/>
          <w:kern w:val="0"/>
          <w:sz w:val="32"/>
          <w:szCs w:val="32"/>
          <w:lang w:bidi="en-US"/>
        </w:rPr>
        <w:t>项目名称：</w:t>
      </w:r>
      <w:r>
        <w:rPr>
          <w:rFonts w:hint="eastAsia" w:ascii="仿宋_GB2312" w:hAnsi="Times New Roman" w:cs="Times New Roman"/>
          <w:kern w:val="0"/>
          <w:sz w:val="32"/>
          <w:szCs w:val="32"/>
          <w:lang w:val="en-US" w:eastAsia="zh-CN" w:bidi="en-US"/>
        </w:rPr>
        <w:t>乌鲁木齐市第一中学水磨沟区河马泉校区项目</w:t>
      </w:r>
    </w:p>
    <w:p>
      <w:pPr>
        <w:spacing w:line="480" w:lineRule="auto"/>
        <w:ind w:left="280" w:leftChars="100" w:firstLine="1091" w:firstLineChars="341"/>
        <w:jc w:val="left"/>
        <w:rPr>
          <w:rFonts w:hint="eastAsia" w:ascii="仿宋_GB2312" w:hAnsi="Times New Roman" w:eastAsia="仿宋_GB2312" w:cs="Times New Roman"/>
          <w:kern w:val="0"/>
          <w:sz w:val="32"/>
          <w:szCs w:val="32"/>
          <w:lang w:val="en-US" w:eastAsia="zh-CN" w:bidi="en-US"/>
        </w:rPr>
      </w:pPr>
      <w:r>
        <w:rPr>
          <w:rFonts w:hint="eastAsia" w:ascii="仿宋_GB2312" w:hAnsi="Times New Roman" w:cs="Times New Roman"/>
          <w:kern w:val="0"/>
          <w:sz w:val="32"/>
          <w:szCs w:val="32"/>
          <w:lang w:bidi="en-US"/>
        </w:rPr>
        <w:t>项目单位：</w:t>
      </w:r>
      <w:r>
        <w:rPr>
          <w:rFonts w:hint="eastAsia" w:ascii="仿宋_GB2312" w:hAnsi="Times New Roman" w:cs="Times New Roman"/>
          <w:kern w:val="0"/>
          <w:sz w:val="32"/>
          <w:szCs w:val="32"/>
          <w:lang w:val="en-US" w:eastAsia="zh-CN" w:bidi="en-US"/>
        </w:rPr>
        <w:t>乌鲁木齐市第一中学</w:t>
      </w:r>
    </w:p>
    <w:p>
      <w:pPr>
        <w:spacing w:line="480" w:lineRule="auto"/>
        <w:ind w:left="280" w:leftChars="100" w:firstLine="1091" w:firstLineChars="341"/>
        <w:jc w:val="left"/>
        <w:rPr>
          <w:rFonts w:hint="default" w:ascii="仿宋_GB2312" w:hAnsi="Times New Roman" w:eastAsia="仿宋_GB2312" w:cs="Times New Roman"/>
          <w:kern w:val="0"/>
          <w:sz w:val="32"/>
          <w:szCs w:val="32"/>
          <w:lang w:val="en-US" w:eastAsia="zh-CN" w:bidi="en-US"/>
        </w:rPr>
      </w:pPr>
      <w:r>
        <w:rPr>
          <w:rFonts w:hint="eastAsia" w:ascii="仿宋_GB2312" w:hAnsi="Times New Roman" w:cs="Times New Roman"/>
          <w:kern w:val="0"/>
          <w:sz w:val="32"/>
          <w:szCs w:val="32"/>
          <w:lang w:bidi="en-US"/>
        </w:rPr>
        <w:t>主管部门：</w:t>
      </w:r>
      <w:r>
        <w:rPr>
          <w:rFonts w:hint="eastAsia" w:ascii="仿宋_GB2312" w:hAnsi="Times New Roman" w:cs="Times New Roman"/>
          <w:kern w:val="0"/>
          <w:sz w:val="32"/>
          <w:szCs w:val="32"/>
          <w:lang w:val="en-US" w:eastAsia="zh-CN" w:bidi="en-US"/>
        </w:rPr>
        <w:t>乌鲁木齐市教育局</w:t>
      </w:r>
    </w:p>
    <w:p>
      <w:pPr>
        <w:spacing w:line="480" w:lineRule="auto"/>
        <w:ind w:firstLine="1411" w:firstLineChars="441"/>
        <w:jc w:val="left"/>
        <w:rPr>
          <w:rFonts w:ascii="仿宋_GB2312" w:hAnsi="Times New Roman" w:cs="Times New Roman"/>
          <w:kern w:val="0"/>
          <w:sz w:val="32"/>
          <w:szCs w:val="32"/>
          <w:lang w:bidi="en-US"/>
        </w:rPr>
      </w:pPr>
    </w:p>
    <w:p>
      <w:pPr>
        <w:spacing w:line="480" w:lineRule="auto"/>
        <w:ind w:firstLine="0" w:firstLineChars="0"/>
        <w:rPr>
          <w:rFonts w:ascii="黑体" w:hAnsi="Times New Roman" w:eastAsia="黑体" w:cs="Times New Roman"/>
          <w:b/>
          <w:kern w:val="0"/>
          <w:sz w:val="32"/>
          <w:szCs w:val="32"/>
          <w:lang w:bidi="en-US"/>
        </w:rPr>
      </w:pPr>
    </w:p>
    <w:p>
      <w:pPr>
        <w:spacing w:line="480" w:lineRule="auto"/>
        <w:ind w:firstLine="0" w:firstLineChars="0"/>
        <w:rPr>
          <w:rFonts w:ascii="黑体" w:hAnsi="Times New Roman" w:eastAsia="黑体" w:cs="Times New Roman"/>
          <w:b/>
          <w:kern w:val="0"/>
          <w:sz w:val="32"/>
          <w:szCs w:val="32"/>
          <w:lang w:bidi="en-US"/>
        </w:rPr>
      </w:pPr>
    </w:p>
    <w:p>
      <w:pPr>
        <w:spacing w:line="480" w:lineRule="auto"/>
        <w:ind w:firstLine="0" w:firstLineChars="0"/>
        <w:jc w:val="center"/>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202</w:t>
      </w:r>
      <w:r>
        <w:rPr>
          <w:rFonts w:hint="eastAsia" w:ascii="仿宋_GB2312" w:hAnsi="Times New Roman" w:cs="Times New Roman"/>
          <w:kern w:val="0"/>
          <w:sz w:val="32"/>
          <w:szCs w:val="32"/>
          <w:lang w:val="en-US" w:eastAsia="zh-CN" w:bidi="en-US"/>
        </w:rPr>
        <w:t>4</w:t>
      </w:r>
      <w:r>
        <w:rPr>
          <w:rFonts w:hint="eastAsia" w:ascii="仿宋_GB2312" w:hAnsi="Times New Roman" w:cs="Times New Roman"/>
          <w:kern w:val="0"/>
          <w:sz w:val="32"/>
          <w:szCs w:val="32"/>
          <w:lang w:bidi="en-US"/>
        </w:rPr>
        <w:t>年0</w:t>
      </w:r>
      <w:r>
        <w:rPr>
          <w:rFonts w:ascii="仿宋_GB2312" w:hAnsi="Times New Roman" w:cs="Times New Roman"/>
          <w:kern w:val="0"/>
          <w:sz w:val="32"/>
          <w:szCs w:val="32"/>
          <w:lang w:bidi="en-US"/>
        </w:rPr>
        <w:t>4</w:t>
      </w:r>
      <w:r>
        <w:rPr>
          <w:rFonts w:hint="eastAsia" w:ascii="仿宋_GB2312" w:hAnsi="Times New Roman" w:cs="Times New Roman"/>
          <w:kern w:val="0"/>
          <w:sz w:val="32"/>
          <w:szCs w:val="32"/>
          <w:lang w:bidi="en-US"/>
        </w:rPr>
        <w:t>月</w:t>
      </w:r>
    </w:p>
    <w:p>
      <w:pPr>
        <w:spacing w:line="480" w:lineRule="auto"/>
        <w:ind w:firstLine="0" w:firstLineChars="0"/>
        <w:jc w:val="center"/>
        <w:rPr>
          <w:rFonts w:ascii="仿宋_GB2312" w:hAnsi="Times New Roman" w:cs="Times New Roman"/>
          <w:kern w:val="0"/>
          <w:sz w:val="32"/>
          <w:szCs w:val="32"/>
          <w:lang w:bidi="en-US"/>
        </w:rPr>
      </w:pPr>
    </w:p>
    <w:p>
      <w:pPr>
        <w:tabs>
          <w:tab w:val="left" w:pos="3324"/>
        </w:tabs>
        <w:spacing w:line="480" w:lineRule="auto"/>
        <w:ind w:firstLine="0" w:firstLineChars="0"/>
        <w:rPr>
          <w:rFonts w:ascii="仿宋_GB2312" w:hAnsi="Times New Roman" w:cs="Times New Roman"/>
          <w:kern w:val="0"/>
          <w:sz w:val="32"/>
          <w:szCs w:val="32"/>
          <w:lang w:bidi="en-US"/>
        </w:rPr>
      </w:pPr>
      <w:r>
        <w:rPr>
          <w:rFonts w:ascii="仿宋_GB2312" w:hAnsi="Times New Roman" w:cs="Times New Roman"/>
          <w:kern w:val="0"/>
          <w:sz w:val="32"/>
          <w:szCs w:val="32"/>
          <w:lang w:bidi="en-US"/>
        </w:rPr>
        <w:tab/>
      </w:r>
    </w:p>
    <w:p>
      <w:pPr>
        <w:ind w:firstLine="640"/>
        <w:rPr>
          <w:rFonts w:ascii="仿宋_GB2312" w:hAnsi="Times New Roman" w:cs="Times New Roman"/>
          <w:kern w:val="0"/>
          <w:sz w:val="32"/>
          <w:szCs w:val="32"/>
          <w:lang w:bidi="en-US"/>
        </w:rPr>
      </w:pPr>
    </w:p>
    <w:sdt>
      <w:sdtPr>
        <w:rPr>
          <w:rFonts w:ascii="Calibri" w:hAnsi="Calibri" w:eastAsia="仿宋_GB2312" w:cs="黑体"/>
          <w:color w:val="auto"/>
          <w:kern w:val="2"/>
          <w:sz w:val="28"/>
          <w:szCs w:val="22"/>
          <w:lang w:val="zh-CN"/>
        </w:rPr>
        <w:id w:val="-1822651860"/>
        <w:docPartObj>
          <w:docPartGallery w:val="Table of Contents"/>
          <w:docPartUnique/>
        </w:docPartObj>
      </w:sdtPr>
      <w:sdtEndPr>
        <w:rPr>
          <w:rFonts w:ascii="Calibri" w:hAnsi="Calibri" w:eastAsia="仿宋_GB2312" w:cs="黑体"/>
          <w:b/>
          <w:bCs/>
          <w:color w:val="auto"/>
          <w:kern w:val="2"/>
          <w:sz w:val="28"/>
          <w:szCs w:val="22"/>
          <w:lang w:val="zh-CN"/>
        </w:rPr>
      </w:sdtEndPr>
      <w:sdtContent>
        <w:p>
          <w:pPr>
            <w:pStyle w:val="31"/>
            <w:ind w:firstLine="560"/>
            <w:jc w:val="center"/>
          </w:pPr>
          <w:r>
            <w:rPr>
              <w:lang w:val="zh-CN"/>
            </w:rPr>
            <w:t>目录</w:t>
          </w:r>
        </w:p>
        <w:p>
          <w:pPr>
            <w:pStyle w:val="12"/>
            <w:tabs>
              <w:tab w:val="right" w:leader="dot" w:pos="8296"/>
            </w:tabs>
            <w:ind w:firstLine="560"/>
            <w:rPr>
              <w:rFonts w:asciiTheme="minorHAnsi" w:hAnsiTheme="minorHAnsi" w:eastAsiaTheme="minorEastAsia" w:cstheme="minorBidi"/>
              <w:sz w:val="21"/>
            </w:rPr>
          </w:pPr>
          <w:r>
            <w:fldChar w:fldCharType="begin"/>
          </w:r>
          <w:r>
            <w:instrText xml:space="preserve"> TOC \o "1-3" \h \z \u </w:instrText>
          </w:r>
          <w:r>
            <w:fldChar w:fldCharType="separate"/>
          </w:r>
          <w:r>
            <w:fldChar w:fldCharType="begin"/>
          </w:r>
          <w:r>
            <w:instrText xml:space="preserve"> HYPERLINK \l "_Toc165277220" </w:instrText>
          </w:r>
          <w:r>
            <w:fldChar w:fldCharType="separate"/>
          </w:r>
          <w:r>
            <w:rPr>
              <w:rStyle w:val="20"/>
              <w:rFonts w:hint="eastAsia" w:ascii="仿宋" w:hAnsi="仿宋" w:eastAsia="仿宋"/>
              <w:lang w:bidi="en-US"/>
            </w:rPr>
            <w:t>一、基本情况</w:t>
          </w:r>
          <w:r>
            <w:tab/>
          </w:r>
          <w:r>
            <w:fldChar w:fldCharType="begin"/>
          </w:r>
          <w:r>
            <w:instrText xml:space="preserve"> PAGEREF _Toc165277220 \h </w:instrText>
          </w:r>
          <w:r>
            <w:fldChar w:fldCharType="separate"/>
          </w:r>
          <w:r>
            <w:t>1</w:t>
          </w:r>
          <w:r>
            <w:fldChar w:fldCharType="end"/>
          </w:r>
          <w:r>
            <w:fldChar w:fldCharType="end"/>
          </w:r>
        </w:p>
        <w:p>
          <w:pPr>
            <w:pStyle w:val="14"/>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"_Toc165277221" </w:instrText>
          </w:r>
          <w:r>
            <w:fldChar w:fldCharType="separate"/>
          </w:r>
          <w:r>
            <w:rPr>
              <w:rStyle w:val="20"/>
              <w:rFonts w:hint="eastAsia" w:ascii="仿宋" w:hAnsi="仿宋" w:eastAsia="仿宋"/>
              <w:lang w:bidi="en-US"/>
            </w:rPr>
            <w:t>（一）项目概况：</w:t>
          </w:r>
          <w:r>
            <w:tab/>
          </w:r>
          <w:r>
            <w:fldChar w:fldCharType="begin"/>
          </w:r>
          <w:r>
            <w:instrText xml:space="preserve"> PAGEREF _Toc165277221 \h </w:instrText>
          </w:r>
          <w:r>
            <w:fldChar w:fldCharType="separate"/>
          </w:r>
          <w:r>
            <w:t>1</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"_Toc165277222" </w:instrText>
          </w:r>
          <w:r>
            <w:fldChar w:fldCharType="separate"/>
          </w:r>
          <w:r>
            <w:rPr>
              <w:rStyle w:val="20"/>
            </w:rPr>
            <w:t>1</w:t>
          </w:r>
          <w:r>
            <w:rPr>
              <w:rStyle w:val="20"/>
              <w:rFonts w:hint="eastAsia"/>
            </w:rPr>
            <w:t>．项目背景、主要内容及实施情况</w:t>
          </w:r>
          <w:r>
            <w:tab/>
          </w:r>
          <w:r>
            <w:fldChar w:fldCharType="begin"/>
          </w:r>
          <w:r>
            <w:instrText xml:space="preserve"> PAGEREF _Toc165277222 \h </w:instrText>
          </w:r>
          <w:r>
            <w:fldChar w:fldCharType="separate"/>
          </w:r>
          <w:r>
            <w:t>1</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"_Toc165277223" </w:instrText>
          </w:r>
          <w:r>
            <w:fldChar w:fldCharType="separate"/>
          </w:r>
          <w:r>
            <w:rPr>
              <w:rStyle w:val="20"/>
            </w:rPr>
            <w:t>2.</w:t>
          </w:r>
          <w:r>
            <w:rPr>
              <w:rStyle w:val="20"/>
              <w:rFonts w:hint="eastAsia"/>
            </w:rPr>
            <w:t>资金投入和使用情况</w:t>
          </w:r>
          <w:r>
            <w:tab/>
          </w:r>
          <w:r>
            <w:fldChar w:fldCharType="begin"/>
          </w:r>
          <w:r>
            <w:instrText xml:space="preserve"> PAGEREF _Toc165277223 \h </w:instrText>
          </w:r>
          <w:r>
            <w:fldChar w:fldCharType="separate"/>
          </w:r>
          <w:r>
            <w:t>1</w:t>
          </w:r>
          <w:r>
            <w:fldChar w:fldCharType="end"/>
          </w:r>
          <w:r>
            <w:fldChar w:fldCharType="end"/>
          </w:r>
        </w:p>
        <w:p>
          <w:pPr>
            <w:pStyle w:val="14"/>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"_Toc165277224" </w:instrText>
          </w:r>
          <w:r>
            <w:fldChar w:fldCharType="separate"/>
          </w:r>
          <w:r>
            <w:rPr>
              <w:rStyle w:val="20"/>
              <w:rFonts w:hint="eastAsia" w:ascii="仿宋" w:hAnsi="仿宋" w:eastAsia="仿宋"/>
              <w:lang w:bidi="en-US"/>
            </w:rPr>
            <w:t>（二）项目绩效目标：</w:t>
          </w:r>
          <w:r>
            <w:tab/>
          </w:r>
          <w:r>
            <w:fldChar w:fldCharType="begin"/>
          </w:r>
          <w:r>
            <w:instrText xml:space="preserve"> PAGEREF _Toc165277224 \h </w:instrText>
          </w:r>
          <w:r>
            <w:fldChar w:fldCharType="separate"/>
          </w:r>
          <w:r>
            <w:t>1</w:t>
          </w:r>
          <w:r>
            <w:fldChar w:fldCharType="end"/>
          </w:r>
          <w:r>
            <w:fldChar w:fldCharType="end"/>
          </w:r>
        </w:p>
        <w:p>
          <w:pPr>
            <w:pStyle w:val="12"/>
            <w:tabs>
              <w:tab w:val="right" w:leader="dot" w:pos="8296"/>
            </w:tabs>
            <w:ind w:firstLine="560"/>
            <w:rPr>
              <w:rFonts w:asciiTheme="minorHAnsi" w:hAnsiTheme="minorHAnsi" w:eastAsiaTheme="minorEastAsia" w:cstheme="minorBidi"/>
              <w:sz w:val="21"/>
            </w:rPr>
          </w:pPr>
          <w:r>
            <w:fldChar w:fldCharType="begin"/>
          </w:r>
          <w:r>
            <w:instrText xml:space="preserve"> HYPERLINK \l "_Toc165277225" </w:instrText>
          </w:r>
          <w:r>
            <w:fldChar w:fldCharType="separate"/>
          </w:r>
          <w:r>
            <w:rPr>
              <w:rStyle w:val="20"/>
              <w:rFonts w:hint="eastAsia" w:ascii="仿宋" w:hAnsi="仿宋" w:eastAsia="仿宋"/>
              <w:lang w:bidi="en-US"/>
            </w:rPr>
            <w:t>二、绩效评价工作开展情况</w:t>
          </w:r>
          <w:r>
            <w:tab/>
          </w:r>
          <w:r>
            <w:fldChar w:fldCharType="begin"/>
          </w:r>
          <w:r>
            <w:instrText xml:space="preserve"> PAGEREF _Toc165277225 \h </w:instrText>
          </w:r>
          <w:r>
            <w:fldChar w:fldCharType="separate"/>
          </w:r>
          <w:r>
            <w:t>2</w:t>
          </w:r>
          <w:r>
            <w:fldChar w:fldCharType="end"/>
          </w:r>
          <w:r>
            <w:fldChar w:fldCharType="end"/>
          </w:r>
        </w:p>
        <w:p>
          <w:pPr>
            <w:pStyle w:val="14"/>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"_Toc165277226" </w:instrText>
          </w:r>
          <w:r>
            <w:fldChar w:fldCharType="separate"/>
          </w:r>
          <w:r>
            <w:rPr>
              <w:rStyle w:val="20"/>
              <w:rFonts w:hint="eastAsia" w:ascii="仿宋" w:hAnsi="仿宋" w:eastAsia="仿宋"/>
              <w:lang w:bidi="en-US"/>
            </w:rPr>
            <w:t>（一）绩效评价目的、对象和范围</w:t>
          </w:r>
          <w:r>
            <w:tab/>
          </w:r>
          <w:r>
            <w:fldChar w:fldCharType="begin"/>
          </w:r>
          <w:r>
            <w:instrText xml:space="preserve"> PAGEREF _Toc165277226 \h </w:instrText>
          </w:r>
          <w:r>
            <w:fldChar w:fldCharType="separate"/>
          </w:r>
          <w:r>
            <w:t>2</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"_Toc165277227" </w:instrText>
          </w:r>
          <w:r>
            <w:fldChar w:fldCharType="separate"/>
          </w:r>
          <w:r>
            <w:rPr>
              <w:rStyle w:val="20"/>
            </w:rPr>
            <w:t>1.</w:t>
          </w:r>
          <w:r>
            <w:rPr>
              <w:rStyle w:val="20"/>
              <w:rFonts w:hint="eastAsia"/>
            </w:rPr>
            <w:t>绩效评价完整性</w:t>
          </w:r>
          <w:r>
            <w:tab/>
          </w:r>
          <w:r>
            <w:fldChar w:fldCharType="begin"/>
          </w:r>
          <w:r>
            <w:instrText xml:space="preserve"> PAGEREF _Toc165277227 \h </w:instrText>
          </w:r>
          <w:r>
            <w:fldChar w:fldCharType="separate"/>
          </w:r>
          <w:r>
            <w:t>2</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"_Toc165277228" </w:instrText>
          </w:r>
          <w:r>
            <w:fldChar w:fldCharType="separate"/>
          </w:r>
          <w:r>
            <w:rPr>
              <w:rStyle w:val="20"/>
            </w:rPr>
            <w:t>2.</w:t>
          </w:r>
          <w:r>
            <w:rPr>
              <w:rStyle w:val="20"/>
              <w:rFonts w:hint="eastAsia"/>
            </w:rPr>
            <w:t>评价目的</w:t>
          </w:r>
          <w:r>
            <w:tab/>
          </w:r>
          <w:r>
            <w:fldChar w:fldCharType="begin"/>
          </w:r>
          <w:r>
            <w:instrText xml:space="preserve"> PAGEREF _Toc165277228 \h </w:instrText>
          </w:r>
          <w:r>
            <w:fldChar w:fldCharType="separate"/>
          </w:r>
          <w:r>
            <w:t>3</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"_Toc165277229" </w:instrText>
          </w:r>
          <w:r>
            <w:fldChar w:fldCharType="separate"/>
          </w:r>
          <w:r>
            <w:rPr>
              <w:rStyle w:val="20"/>
            </w:rPr>
            <w:t>3.</w:t>
          </w:r>
          <w:r>
            <w:rPr>
              <w:rStyle w:val="20"/>
              <w:rFonts w:hint="eastAsia"/>
            </w:rPr>
            <w:t>评价对象</w:t>
          </w:r>
          <w:r>
            <w:tab/>
          </w:r>
          <w:r>
            <w:fldChar w:fldCharType="begin"/>
          </w:r>
          <w:r>
            <w:instrText xml:space="preserve"> PAGEREF _Toc165277229 \h </w:instrText>
          </w:r>
          <w:r>
            <w:fldChar w:fldCharType="separate"/>
          </w:r>
          <w:r>
            <w:t>3</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"_Toc165277230" </w:instrText>
          </w:r>
          <w:r>
            <w:fldChar w:fldCharType="separate"/>
          </w:r>
          <w:r>
            <w:rPr>
              <w:rStyle w:val="20"/>
            </w:rPr>
            <w:t>4.</w:t>
          </w:r>
          <w:r>
            <w:rPr>
              <w:rStyle w:val="20"/>
              <w:rFonts w:hint="eastAsia"/>
            </w:rPr>
            <w:t>绩效评价范围</w:t>
          </w:r>
          <w:r>
            <w:tab/>
          </w:r>
          <w:r>
            <w:fldChar w:fldCharType="begin"/>
          </w:r>
          <w:r>
            <w:instrText xml:space="preserve"> PAGEREF _Toc165277230 \h </w:instrText>
          </w:r>
          <w:r>
            <w:fldChar w:fldCharType="separate"/>
          </w:r>
          <w:r>
            <w:t>3</w:t>
          </w:r>
          <w:r>
            <w:fldChar w:fldCharType="end"/>
          </w:r>
          <w:r>
            <w:fldChar w:fldCharType="end"/>
          </w:r>
        </w:p>
        <w:p>
          <w:pPr>
            <w:pStyle w:val="14"/>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"_Toc165277231" </w:instrText>
          </w:r>
          <w:r>
            <w:fldChar w:fldCharType="separate"/>
          </w:r>
          <w:r>
            <w:rPr>
              <w:rStyle w:val="20"/>
              <w:rFonts w:hint="eastAsia" w:ascii="仿宋" w:hAnsi="仿宋" w:eastAsia="仿宋"/>
              <w:lang w:bidi="en-US"/>
            </w:rPr>
            <w:t>（二）绩效评价原则、指标体系、方法及标准</w:t>
          </w:r>
          <w:r>
            <w:tab/>
          </w:r>
          <w:r>
            <w:fldChar w:fldCharType="begin"/>
          </w:r>
          <w:r>
            <w:instrText xml:space="preserve"> PAGEREF _Toc165277231 \h </w:instrText>
          </w:r>
          <w:r>
            <w:fldChar w:fldCharType="separate"/>
          </w:r>
          <w:r>
            <w:t>4</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"_Toc165277232" </w:instrText>
          </w:r>
          <w:r>
            <w:fldChar w:fldCharType="separate"/>
          </w:r>
          <w:r>
            <w:rPr>
              <w:rStyle w:val="20"/>
            </w:rPr>
            <w:t>1.</w:t>
          </w:r>
          <w:r>
            <w:rPr>
              <w:rStyle w:val="20"/>
              <w:rFonts w:hint="eastAsia"/>
            </w:rPr>
            <w:t>评价原则</w:t>
          </w:r>
          <w:r>
            <w:tab/>
          </w:r>
          <w:r>
            <w:fldChar w:fldCharType="begin"/>
          </w:r>
          <w:r>
            <w:instrText xml:space="preserve"> PAGEREF _Toc165277232 \h </w:instrText>
          </w:r>
          <w:r>
            <w:fldChar w:fldCharType="separate"/>
          </w:r>
          <w:r>
            <w:t>4</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"_Toc165277233" </w:instrText>
          </w:r>
          <w:r>
            <w:fldChar w:fldCharType="separate"/>
          </w:r>
          <w:r>
            <w:rPr>
              <w:rStyle w:val="20"/>
            </w:rPr>
            <w:t>2.</w:t>
          </w:r>
          <w:r>
            <w:rPr>
              <w:rStyle w:val="20"/>
              <w:rFonts w:hint="eastAsia"/>
            </w:rPr>
            <w:t>评价指标体系</w:t>
          </w:r>
          <w:r>
            <w:tab/>
          </w:r>
          <w:r>
            <w:fldChar w:fldCharType="begin"/>
          </w:r>
          <w:r>
            <w:instrText xml:space="preserve"> PAGEREF _Toc165277233 \h </w:instrText>
          </w:r>
          <w:r>
            <w:fldChar w:fldCharType="separate"/>
          </w:r>
          <w:r>
            <w:t>4</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"_Toc165277234" </w:instrText>
          </w:r>
          <w:r>
            <w:fldChar w:fldCharType="separate"/>
          </w:r>
          <w:r>
            <w:rPr>
              <w:rStyle w:val="20"/>
            </w:rPr>
            <w:t>3.</w:t>
          </w:r>
          <w:r>
            <w:rPr>
              <w:rStyle w:val="20"/>
              <w:rFonts w:hint="eastAsia"/>
            </w:rPr>
            <w:t>评价方法</w:t>
          </w:r>
          <w:r>
            <w:tab/>
          </w:r>
          <w:r>
            <w:fldChar w:fldCharType="begin"/>
          </w:r>
          <w:r>
            <w:instrText xml:space="preserve"> PAGEREF _Toc165277234 \h </w:instrText>
          </w:r>
          <w:r>
            <w:fldChar w:fldCharType="separate"/>
          </w:r>
          <w:r>
            <w:t>12</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"_Toc165277235" </w:instrText>
          </w:r>
          <w:r>
            <w:fldChar w:fldCharType="separate"/>
          </w:r>
          <w:r>
            <w:rPr>
              <w:rStyle w:val="20"/>
            </w:rPr>
            <w:t>4.</w:t>
          </w:r>
          <w:r>
            <w:rPr>
              <w:rStyle w:val="20"/>
              <w:rFonts w:hint="eastAsia"/>
            </w:rPr>
            <w:t>评价标准</w:t>
          </w:r>
          <w:r>
            <w:tab/>
          </w:r>
          <w:r>
            <w:fldChar w:fldCharType="begin"/>
          </w:r>
          <w:r>
            <w:instrText xml:space="preserve"> PAGEREF _Toc165277235 \h </w:instrText>
          </w:r>
          <w:r>
            <w:fldChar w:fldCharType="separate"/>
          </w:r>
          <w:r>
            <w:t>13</w:t>
          </w:r>
          <w:r>
            <w:fldChar w:fldCharType="end"/>
          </w:r>
          <w:r>
            <w:fldChar w:fldCharType="end"/>
          </w:r>
        </w:p>
        <w:p>
          <w:pPr>
            <w:pStyle w:val="14"/>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"_Toc165277236" </w:instrText>
          </w:r>
          <w:r>
            <w:fldChar w:fldCharType="separate"/>
          </w:r>
          <w:r>
            <w:rPr>
              <w:rStyle w:val="20"/>
              <w:rFonts w:hint="eastAsia" w:ascii="仿宋" w:hAnsi="仿宋" w:eastAsia="仿宋"/>
              <w:lang w:bidi="en-US"/>
            </w:rPr>
            <w:t>（三）绩效评价工作过程</w:t>
          </w:r>
          <w:r>
            <w:tab/>
          </w:r>
          <w:r>
            <w:fldChar w:fldCharType="begin"/>
          </w:r>
          <w:r>
            <w:instrText xml:space="preserve"> PAGEREF _Toc165277236 \h </w:instrText>
          </w:r>
          <w:r>
            <w:fldChar w:fldCharType="separate"/>
          </w:r>
          <w:r>
            <w:t>13</w:t>
          </w:r>
          <w:r>
            <w:fldChar w:fldCharType="end"/>
          </w:r>
          <w:r>
            <w:fldChar w:fldCharType="end"/>
          </w:r>
        </w:p>
        <w:p>
          <w:pPr>
            <w:pStyle w:val="12"/>
            <w:tabs>
              <w:tab w:val="right" w:leader="dot" w:pos="8296"/>
            </w:tabs>
            <w:ind w:firstLine="560"/>
            <w:rPr>
              <w:rFonts w:asciiTheme="minorHAnsi" w:hAnsiTheme="minorHAnsi" w:eastAsiaTheme="minorEastAsia" w:cstheme="minorBidi"/>
              <w:sz w:val="21"/>
            </w:rPr>
          </w:pPr>
          <w:r>
            <w:fldChar w:fldCharType="begin"/>
          </w:r>
          <w:r>
            <w:instrText xml:space="preserve"> HYPERLINK \l "_Toc165277237" </w:instrText>
          </w:r>
          <w:r>
            <w:fldChar w:fldCharType="separate"/>
          </w:r>
          <w:r>
            <w:rPr>
              <w:rStyle w:val="20"/>
              <w:rFonts w:hint="eastAsia" w:ascii="仿宋" w:hAnsi="仿宋" w:eastAsia="仿宋"/>
              <w:lang w:bidi="en-US"/>
            </w:rPr>
            <w:t>三、综合评价情况及评价结论</w:t>
          </w:r>
          <w:r>
            <w:tab/>
          </w:r>
          <w:r>
            <w:fldChar w:fldCharType="begin"/>
          </w:r>
          <w:r>
            <w:instrText xml:space="preserve"> PAGEREF _Toc165277237 \h </w:instrText>
          </w:r>
          <w:r>
            <w:fldChar w:fldCharType="separate"/>
          </w:r>
          <w:r>
            <w:t>14</w:t>
          </w:r>
          <w:r>
            <w:fldChar w:fldCharType="end"/>
          </w:r>
          <w:r>
            <w:fldChar w:fldCharType="end"/>
          </w:r>
        </w:p>
        <w:p>
          <w:pPr>
            <w:pStyle w:val="14"/>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"_Toc165277238" </w:instrText>
          </w:r>
          <w:r>
            <w:fldChar w:fldCharType="separate"/>
          </w:r>
          <w:r>
            <w:rPr>
              <w:rStyle w:val="20"/>
              <w:rFonts w:hint="eastAsia" w:ascii="仿宋" w:hAnsi="仿宋" w:eastAsia="仿宋"/>
              <w:lang w:bidi="en-US"/>
            </w:rPr>
            <w:t>（一）评价结论</w:t>
          </w:r>
          <w:r>
            <w:tab/>
          </w:r>
          <w:r>
            <w:fldChar w:fldCharType="begin"/>
          </w:r>
          <w:r>
            <w:instrText xml:space="preserve"> PAGEREF _Toc165277238 \h </w:instrText>
          </w:r>
          <w:r>
            <w:fldChar w:fldCharType="separate"/>
          </w:r>
          <w:r>
            <w:t>14</w:t>
          </w:r>
          <w:r>
            <w:fldChar w:fldCharType="end"/>
          </w:r>
          <w:r>
            <w:fldChar w:fldCharType="end"/>
          </w:r>
        </w:p>
        <w:p>
          <w:pPr>
            <w:pStyle w:val="14"/>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"_Toc165277239" </w:instrText>
          </w:r>
          <w:r>
            <w:fldChar w:fldCharType="separate"/>
          </w:r>
          <w:r>
            <w:rPr>
              <w:rStyle w:val="20"/>
              <w:rFonts w:hint="eastAsia" w:ascii="仿宋" w:hAnsi="仿宋" w:eastAsia="仿宋"/>
              <w:lang w:bidi="en-US"/>
            </w:rPr>
            <w:t>（二）主要绩效</w:t>
          </w:r>
          <w:r>
            <w:tab/>
          </w:r>
          <w:r>
            <w:fldChar w:fldCharType="begin"/>
          </w:r>
          <w:r>
            <w:instrText xml:space="preserve"> PAGEREF _Toc165277239 \h </w:instrText>
          </w:r>
          <w:r>
            <w:fldChar w:fldCharType="separate"/>
          </w:r>
          <w:r>
            <w:t>15</w:t>
          </w:r>
          <w:r>
            <w:fldChar w:fldCharType="end"/>
          </w:r>
          <w:r>
            <w:fldChar w:fldCharType="end"/>
          </w:r>
        </w:p>
        <w:p>
          <w:pPr>
            <w:pStyle w:val="12"/>
            <w:tabs>
              <w:tab w:val="right" w:leader="dot" w:pos="8296"/>
            </w:tabs>
            <w:ind w:firstLine="560"/>
            <w:rPr>
              <w:rFonts w:asciiTheme="minorHAnsi" w:hAnsiTheme="minorHAnsi" w:eastAsiaTheme="minorEastAsia" w:cstheme="minorBidi"/>
              <w:sz w:val="21"/>
            </w:rPr>
          </w:pPr>
          <w:r>
            <w:fldChar w:fldCharType="begin"/>
          </w:r>
          <w:r>
            <w:instrText xml:space="preserve"> HYPERLINK \l "_Toc165277240" </w:instrText>
          </w:r>
          <w:r>
            <w:fldChar w:fldCharType="separate"/>
          </w:r>
          <w:r>
            <w:rPr>
              <w:rStyle w:val="20"/>
              <w:rFonts w:hint="eastAsia" w:ascii="仿宋" w:hAnsi="仿宋" w:eastAsia="仿宋"/>
              <w:lang w:bidi="en-US"/>
            </w:rPr>
            <w:t>四、绩效评价指标分析</w:t>
          </w:r>
          <w:r>
            <w:tab/>
          </w:r>
          <w:r>
            <w:fldChar w:fldCharType="begin"/>
          </w:r>
          <w:r>
            <w:instrText xml:space="preserve"> PAGEREF _Toc165277240 \h </w:instrText>
          </w:r>
          <w:r>
            <w:fldChar w:fldCharType="separate"/>
          </w:r>
          <w:r>
            <w:t>15</w:t>
          </w:r>
          <w:r>
            <w:fldChar w:fldCharType="end"/>
          </w:r>
          <w:r>
            <w:fldChar w:fldCharType="end"/>
          </w:r>
        </w:p>
        <w:p>
          <w:pPr>
            <w:pStyle w:val="14"/>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"_Toc165277241" </w:instrText>
          </w:r>
          <w:r>
            <w:fldChar w:fldCharType="separate"/>
          </w:r>
          <w:r>
            <w:rPr>
              <w:rStyle w:val="20"/>
              <w:rFonts w:hint="eastAsia" w:ascii="仿宋" w:hAnsi="仿宋" w:eastAsia="仿宋"/>
              <w:lang w:bidi="en-US"/>
            </w:rPr>
            <w:t>（一）项目决策情况</w:t>
          </w:r>
          <w:r>
            <w:tab/>
          </w:r>
          <w:r>
            <w:fldChar w:fldCharType="begin"/>
          </w:r>
          <w:r>
            <w:instrText xml:space="preserve"> PAGEREF _Toc165277241 \h </w:instrText>
          </w:r>
          <w:r>
            <w:fldChar w:fldCharType="separate"/>
          </w:r>
          <w:r>
            <w:t>15</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"_Toc165277242" </w:instrText>
          </w:r>
          <w:r>
            <w:fldChar w:fldCharType="separate"/>
          </w:r>
          <w:r>
            <w:rPr>
              <w:rStyle w:val="20"/>
            </w:rPr>
            <w:t>1.</w:t>
          </w:r>
          <w:r>
            <w:rPr>
              <w:rStyle w:val="20"/>
              <w:rFonts w:hint="eastAsia"/>
            </w:rPr>
            <w:t>项目立项</w:t>
          </w:r>
          <w:r>
            <w:tab/>
          </w:r>
          <w:r>
            <w:fldChar w:fldCharType="begin"/>
          </w:r>
          <w:r>
            <w:instrText xml:space="preserve"> PAGEREF _Toc165277242 \h </w:instrText>
          </w:r>
          <w:r>
            <w:fldChar w:fldCharType="separate"/>
          </w:r>
          <w:r>
            <w:t>16</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"_Toc165277243" </w:instrText>
          </w:r>
          <w:r>
            <w:fldChar w:fldCharType="separate"/>
          </w:r>
          <w:r>
            <w:rPr>
              <w:rStyle w:val="20"/>
            </w:rPr>
            <w:t>2.</w:t>
          </w:r>
          <w:r>
            <w:rPr>
              <w:rStyle w:val="20"/>
              <w:rFonts w:hint="eastAsia"/>
            </w:rPr>
            <w:t>绩效目标</w:t>
          </w:r>
          <w:r>
            <w:tab/>
          </w:r>
          <w:r>
            <w:fldChar w:fldCharType="begin"/>
          </w:r>
          <w:r>
            <w:instrText xml:space="preserve"> PAGEREF _Toc165277243 \h </w:instrText>
          </w:r>
          <w:r>
            <w:fldChar w:fldCharType="separate"/>
          </w:r>
          <w:r>
            <w:t>16</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"_Toc165277244" </w:instrText>
          </w:r>
          <w:r>
            <w:fldChar w:fldCharType="separate"/>
          </w:r>
          <w:r>
            <w:rPr>
              <w:rStyle w:val="20"/>
            </w:rPr>
            <w:t>3.</w:t>
          </w:r>
          <w:r>
            <w:rPr>
              <w:rStyle w:val="20"/>
              <w:rFonts w:hint="eastAsia"/>
            </w:rPr>
            <w:t>资金投入</w:t>
          </w:r>
          <w:r>
            <w:tab/>
          </w:r>
          <w:r>
            <w:fldChar w:fldCharType="begin"/>
          </w:r>
          <w:r>
            <w:instrText xml:space="preserve"> PAGEREF _Toc165277244 \h </w:instrText>
          </w:r>
          <w:r>
            <w:fldChar w:fldCharType="separate"/>
          </w:r>
          <w:r>
            <w:t>17</w:t>
          </w:r>
          <w:r>
            <w:fldChar w:fldCharType="end"/>
          </w:r>
          <w:r>
            <w:fldChar w:fldCharType="end"/>
          </w:r>
        </w:p>
        <w:p>
          <w:pPr>
            <w:pStyle w:val="14"/>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"_Toc165277245" </w:instrText>
          </w:r>
          <w:r>
            <w:fldChar w:fldCharType="separate"/>
          </w:r>
          <w:r>
            <w:rPr>
              <w:rStyle w:val="20"/>
              <w:rFonts w:hint="eastAsia" w:ascii="仿宋" w:hAnsi="仿宋" w:eastAsia="仿宋"/>
              <w:lang w:bidi="en-US"/>
            </w:rPr>
            <w:t>（二）项目过程情况</w:t>
          </w:r>
          <w:r>
            <w:tab/>
          </w:r>
          <w:r>
            <w:fldChar w:fldCharType="begin"/>
          </w:r>
          <w:r>
            <w:instrText xml:space="preserve"> PAGEREF _Toc165277245 \h </w:instrText>
          </w:r>
          <w:r>
            <w:fldChar w:fldCharType="separate"/>
          </w:r>
          <w:r>
            <w:t>17</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"_Toc165277246" </w:instrText>
          </w:r>
          <w:r>
            <w:fldChar w:fldCharType="separate"/>
          </w:r>
          <w:r>
            <w:rPr>
              <w:rStyle w:val="20"/>
            </w:rPr>
            <w:t>1.</w:t>
          </w:r>
          <w:r>
            <w:rPr>
              <w:rStyle w:val="20"/>
              <w:rFonts w:hint="eastAsia"/>
            </w:rPr>
            <w:t>资金管理</w:t>
          </w:r>
          <w:r>
            <w:tab/>
          </w:r>
          <w:r>
            <w:fldChar w:fldCharType="begin"/>
          </w:r>
          <w:r>
            <w:instrText xml:space="preserve"> PAGEREF _Toc165277246 \h </w:instrText>
          </w:r>
          <w:r>
            <w:fldChar w:fldCharType="separate"/>
          </w:r>
          <w:r>
            <w:t>17</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"_Toc165277247" </w:instrText>
          </w:r>
          <w:r>
            <w:fldChar w:fldCharType="separate"/>
          </w:r>
          <w:r>
            <w:rPr>
              <w:rStyle w:val="20"/>
            </w:rPr>
            <w:t>2.</w:t>
          </w:r>
          <w:r>
            <w:rPr>
              <w:rStyle w:val="20"/>
              <w:rFonts w:hint="eastAsia"/>
            </w:rPr>
            <w:t>组织实施</w:t>
          </w:r>
          <w:r>
            <w:tab/>
          </w:r>
          <w:r>
            <w:fldChar w:fldCharType="begin"/>
          </w:r>
          <w:r>
            <w:instrText xml:space="preserve"> PAGEREF _Toc165277247 \h </w:instrText>
          </w:r>
          <w:r>
            <w:fldChar w:fldCharType="separate"/>
          </w:r>
          <w:r>
            <w:t>18</w:t>
          </w:r>
          <w:r>
            <w:fldChar w:fldCharType="end"/>
          </w:r>
          <w:r>
            <w:fldChar w:fldCharType="end"/>
          </w:r>
        </w:p>
        <w:p>
          <w:pPr>
            <w:pStyle w:val="14"/>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"_Toc165277248" </w:instrText>
          </w:r>
          <w:r>
            <w:fldChar w:fldCharType="separate"/>
          </w:r>
          <w:r>
            <w:rPr>
              <w:rStyle w:val="20"/>
              <w:rFonts w:hint="eastAsia" w:ascii="仿宋" w:hAnsi="仿宋" w:eastAsia="仿宋"/>
              <w:lang w:bidi="en-US"/>
            </w:rPr>
            <w:t>（三）项目产出情况</w:t>
          </w:r>
          <w:r>
            <w:tab/>
          </w:r>
          <w:r>
            <w:fldChar w:fldCharType="begin"/>
          </w:r>
          <w:r>
            <w:instrText xml:space="preserve"> PAGEREF _Toc165277248 \h </w:instrText>
          </w:r>
          <w:r>
            <w:fldChar w:fldCharType="separate"/>
          </w:r>
          <w:r>
            <w:t>18</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"_Toc165277249" </w:instrText>
          </w:r>
          <w:r>
            <w:fldChar w:fldCharType="separate"/>
          </w:r>
          <w:r>
            <w:rPr>
              <w:rStyle w:val="20"/>
            </w:rPr>
            <w:t>1.</w:t>
          </w:r>
          <w:r>
            <w:rPr>
              <w:rStyle w:val="20"/>
              <w:rFonts w:hint="eastAsia"/>
            </w:rPr>
            <w:t>产出数量</w:t>
          </w:r>
          <w:r>
            <w:tab/>
          </w:r>
          <w:r>
            <w:fldChar w:fldCharType="begin"/>
          </w:r>
          <w:r>
            <w:instrText xml:space="preserve"> PAGEREF _Toc165277249 \h </w:instrText>
          </w:r>
          <w:r>
            <w:fldChar w:fldCharType="separate"/>
          </w:r>
          <w:r>
            <w:t>18</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"_Toc165277250" </w:instrText>
          </w:r>
          <w:r>
            <w:fldChar w:fldCharType="separate"/>
          </w:r>
          <w:r>
            <w:rPr>
              <w:rStyle w:val="20"/>
            </w:rPr>
            <w:t>2.</w:t>
          </w:r>
          <w:r>
            <w:rPr>
              <w:rStyle w:val="20"/>
              <w:rFonts w:hint="eastAsia"/>
            </w:rPr>
            <w:t>产出质量</w:t>
          </w:r>
          <w:r>
            <w:tab/>
          </w:r>
          <w:r>
            <w:fldChar w:fldCharType="begin"/>
          </w:r>
          <w:r>
            <w:instrText xml:space="preserve"> PAGEREF _Toc165277250 \h </w:instrText>
          </w:r>
          <w:r>
            <w:fldChar w:fldCharType="separate"/>
          </w:r>
          <w:r>
            <w:t>19</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"_Toc165277251" </w:instrText>
          </w:r>
          <w:r>
            <w:fldChar w:fldCharType="separate"/>
          </w:r>
          <w:r>
            <w:rPr>
              <w:rStyle w:val="20"/>
            </w:rPr>
            <w:t>3.</w:t>
          </w:r>
          <w:r>
            <w:rPr>
              <w:rStyle w:val="20"/>
              <w:rFonts w:hint="eastAsia"/>
            </w:rPr>
            <w:t>产出时效</w:t>
          </w:r>
          <w:r>
            <w:tab/>
          </w:r>
          <w:r>
            <w:fldChar w:fldCharType="begin"/>
          </w:r>
          <w:r>
            <w:instrText xml:space="preserve"> PAGEREF _Toc165277251 \h </w:instrText>
          </w:r>
          <w:r>
            <w:fldChar w:fldCharType="separate"/>
          </w:r>
          <w:r>
            <w:t>19</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"_Toc165277252" </w:instrText>
          </w:r>
          <w:r>
            <w:fldChar w:fldCharType="separate"/>
          </w:r>
          <w:r>
            <w:rPr>
              <w:rStyle w:val="20"/>
            </w:rPr>
            <w:t>4.</w:t>
          </w:r>
          <w:r>
            <w:rPr>
              <w:rStyle w:val="20"/>
              <w:rFonts w:hint="eastAsia"/>
            </w:rPr>
            <w:t>产出成本</w:t>
          </w:r>
          <w:r>
            <w:tab/>
          </w:r>
          <w:r>
            <w:fldChar w:fldCharType="begin"/>
          </w:r>
          <w:r>
            <w:instrText xml:space="preserve"> PAGEREF _Toc165277252 \h </w:instrText>
          </w:r>
          <w:r>
            <w:fldChar w:fldCharType="separate"/>
          </w:r>
          <w:r>
            <w:t>19</w:t>
          </w:r>
          <w:r>
            <w:fldChar w:fldCharType="end"/>
          </w:r>
          <w:r>
            <w:fldChar w:fldCharType="end"/>
          </w:r>
        </w:p>
        <w:p>
          <w:pPr>
            <w:pStyle w:val="14"/>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"_Toc165277253" </w:instrText>
          </w:r>
          <w:r>
            <w:fldChar w:fldCharType="separate"/>
          </w:r>
          <w:r>
            <w:rPr>
              <w:rStyle w:val="20"/>
              <w:rFonts w:hint="eastAsia" w:ascii="仿宋" w:hAnsi="仿宋" w:eastAsia="仿宋"/>
              <w:lang w:bidi="en-US"/>
            </w:rPr>
            <w:t>（四）项目效益情况</w:t>
          </w:r>
          <w:r>
            <w:tab/>
          </w:r>
          <w:r>
            <w:fldChar w:fldCharType="begin"/>
          </w:r>
          <w:r>
            <w:instrText xml:space="preserve"> PAGEREF _Toc165277253 \h </w:instrText>
          </w:r>
          <w:r>
            <w:fldChar w:fldCharType="separate"/>
          </w:r>
          <w:r>
            <w:t>19</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"_Toc165277254" </w:instrText>
          </w:r>
          <w:r>
            <w:fldChar w:fldCharType="separate"/>
          </w:r>
          <w:r>
            <w:rPr>
              <w:rStyle w:val="20"/>
            </w:rPr>
            <w:t>1.</w:t>
          </w:r>
          <w:r>
            <w:rPr>
              <w:rStyle w:val="20"/>
              <w:rFonts w:hint="eastAsia"/>
            </w:rPr>
            <w:t>项目效益</w:t>
          </w:r>
          <w:r>
            <w:tab/>
          </w:r>
          <w:r>
            <w:fldChar w:fldCharType="begin"/>
          </w:r>
          <w:r>
            <w:instrText xml:space="preserve"> PAGEREF _Toc165277254 \h </w:instrText>
          </w:r>
          <w:r>
            <w:fldChar w:fldCharType="separate"/>
          </w:r>
          <w:r>
            <w:t>19</w:t>
          </w:r>
          <w:r>
            <w:fldChar w:fldCharType="end"/>
          </w:r>
          <w:r>
            <w:fldChar w:fldCharType="end"/>
          </w:r>
        </w:p>
        <w:p>
          <w:pPr>
            <w:pStyle w:val="7"/>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"_Toc165277255" </w:instrText>
          </w:r>
          <w:r>
            <w:fldChar w:fldCharType="separate"/>
          </w:r>
          <w:r>
            <w:rPr>
              <w:rStyle w:val="20"/>
            </w:rPr>
            <w:t xml:space="preserve">2. </w:t>
          </w:r>
          <w:r>
            <w:rPr>
              <w:rStyle w:val="20"/>
              <w:rFonts w:hint="eastAsia"/>
            </w:rPr>
            <w:t>满意度指标完成情况分析</w:t>
          </w:r>
          <w:r>
            <w:tab/>
          </w:r>
          <w:r>
            <w:fldChar w:fldCharType="begin"/>
          </w:r>
          <w:r>
            <w:instrText xml:space="preserve"> PAGEREF _Toc165277255 \h </w:instrText>
          </w:r>
          <w:r>
            <w:fldChar w:fldCharType="separate"/>
          </w:r>
          <w:r>
            <w:t>20</w:t>
          </w:r>
          <w:r>
            <w:fldChar w:fldCharType="end"/>
          </w:r>
          <w:r>
            <w:fldChar w:fldCharType="end"/>
          </w:r>
        </w:p>
        <w:p>
          <w:pPr>
            <w:pStyle w:val="12"/>
            <w:tabs>
              <w:tab w:val="right" w:leader="dot" w:pos="8296"/>
            </w:tabs>
            <w:ind w:firstLine="560"/>
            <w:rPr>
              <w:rFonts w:asciiTheme="minorHAnsi" w:hAnsiTheme="minorHAnsi" w:eastAsiaTheme="minorEastAsia" w:cstheme="minorBidi"/>
              <w:sz w:val="21"/>
            </w:rPr>
          </w:pPr>
          <w:r>
            <w:fldChar w:fldCharType="begin"/>
          </w:r>
          <w:r>
            <w:instrText xml:space="preserve"> HYPERLINK \l "_Toc165277256" </w:instrText>
          </w:r>
          <w:r>
            <w:fldChar w:fldCharType="separate"/>
          </w:r>
          <w:r>
            <w:rPr>
              <w:rStyle w:val="20"/>
              <w:rFonts w:hint="eastAsia" w:ascii="仿宋" w:hAnsi="仿宋" w:eastAsia="仿宋"/>
              <w:lang w:bidi="en-US"/>
            </w:rPr>
            <w:t>五、主要经验及做法、存在的问题及原因分析</w:t>
          </w:r>
          <w:r>
            <w:tab/>
          </w:r>
          <w:r>
            <w:fldChar w:fldCharType="begin"/>
          </w:r>
          <w:r>
            <w:instrText xml:space="preserve"> PAGEREF _Toc165277256 \h </w:instrText>
          </w:r>
          <w:r>
            <w:fldChar w:fldCharType="separate"/>
          </w:r>
          <w:r>
            <w:t>20</w:t>
          </w:r>
          <w:r>
            <w:fldChar w:fldCharType="end"/>
          </w:r>
          <w:r>
            <w:fldChar w:fldCharType="end"/>
          </w:r>
        </w:p>
        <w:p>
          <w:pPr>
            <w:pStyle w:val="14"/>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"_Toc165277257" </w:instrText>
          </w:r>
          <w:r>
            <w:fldChar w:fldCharType="separate"/>
          </w:r>
          <w:r>
            <w:rPr>
              <w:rStyle w:val="20"/>
              <w:rFonts w:hint="eastAsia" w:ascii="仿宋" w:hAnsi="仿宋" w:eastAsia="仿宋"/>
              <w:lang w:bidi="en-US"/>
            </w:rPr>
            <w:t>（一）主要经验及做法</w:t>
          </w:r>
          <w:r>
            <w:tab/>
          </w:r>
          <w:r>
            <w:fldChar w:fldCharType="begin"/>
          </w:r>
          <w:r>
            <w:instrText xml:space="preserve"> PAGEREF _Toc165277257 \h </w:instrText>
          </w:r>
          <w:r>
            <w:fldChar w:fldCharType="separate"/>
          </w:r>
          <w:r>
            <w:t>20</w:t>
          </w:r>
          <w:r>
            <w:fldChar w:fldCharType="end"/>
          </w:r>
          <w:r>
            <w:fldChar w:fldCharType="end"/>
          </w:r>
        </w:p>
        <w:p>
          <w:pPr>
            <w:pStyle w:val="14"/>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"_Toc165277258" </w:instrText>
          </w:r>
          <w:r>
            <w:fldChar w:fldCharType="separate"/>
          </w:r>
          <w:r>
            <w:rPr>
              <w:rStyle w:val="20"/>
              <w:rFonts w:hint="eastAsia" w:ascii="仿宋" w:hAnsi="仿宋" w:eastAsia="仿宋"/>
              <w:lang w:bidi="en-US"/>
            </w:rPr>
            <w:t>（二）存在的问题及原因分析</w:t>
          </w:r>
          <w:r>
            <w:tab/>
          </w:r>
          <w:r>
            <w:fldChar w:fldCharType="begin"/>
          </w:r>
          <w:r>
            <w:instrText xml:space="preserve"> PAGEREF _Toc165277258 \h </w:instrText>
          </w:r>
          <w:r>
            <w:fldChar w:fldCharType="separate"/>
          </w:r>
          <w:r>
            <w:t>20</w:t>
          </w:r>
          <w:r>
            <w:fldChar w:fldCharType="end"/>
          </w:r>
          <w:r>
            <w:fldChar w:fldCharType="end"/>
          </w:r>
        </w:p>
        <w:p>
          <w:pPr>
            <w:pStyle w:val="12"/>
            <w:tabs>
              <w:tab w:val="right" w:leader="dot" w:pos="8296"/>
            </w:tabs>
            <w:ind w:firstLine="560"/>
            <w:rPr>
              <w:rFonts w:asciiTheme="minorHAnsi" w:hAnsiTheme="minorHAnsi" w:eastAsiaTheme="minorEastAsia" w:cstheme="minorBidi"/>
              <w:sz w:val="21"/>
            </w:rPr>
          </w:pPr>
          <w:r>
            <w:fldChar w:fldCharType="begin"/>
          </w:r>
          <w:r>
            <w:instrText xml:space="preserve"> HYPERLINK \l "_Toc165277259" </w:instrText>
          </w:r>
          <w:r>
            <w:fldChar w:fldCharType="separate"/>
          </w:r>
          <w:r>
            <w:rPr>
              <w:rStyle w:val="20"/>
              <w:rFonts w:hint="eastAsia" w:ascii="仿宋" w:hAnsi="仿宋" w:eastAsia="仿宋"/>
              <w:lang w:bidi="en-US"/>
            </w:rPr>
            <w:t>六、有关建议</w:t>
          </w:r>
          <w:r>
            <w:tab/>
          </w:r>
          <w:r>
            <w:fldChar w:fldCharType="begin"/>
          </w:r>
          <w:r>
            <w:instrText xml:space="preserve"> PAGEREF _Toc165277259 \h </w:instrText>
          </w:r>
          <w:r>
            <w:fldChar w:fldCharType="separate"/>
          </w:r>
          <w:r>
            <w:t>21</w:t>
          </w:r>
          <w:r>
            <w:fldChar w:fldCharType="end"/>
          </w:r>
          <w:r>
            <w:fldChar w:fldCharType="end"/>
          </w:r>
        </w:p>
        <w:p>
          <w:pPr>
            <w:pStyle w:val="12"/>
            <w:tabs>
              <w:tab w:val="right" w:leader="dot" w:pos="8296"/>
            </w:tabs>
            <w:ind w:firstLine="560"/>
            <w:rPr>
              <w:rFonts w:asciiTheme="minorHAnsi" w:hAnsiTheme="minorHAnsi" w:eastAsiaTheme="minorEastAsia" w:cstheme="minorBidi"/>
              <w:sz w:val="21"/>
            </w:rPr>
          </w:pPr>
          <w:r>
            <w:fldChar w:fldCharType="begin"/>
          </w:r>
          <w:r>
            <w:instrText xml:space="preserve"> HYPERLINK \l "_Toc165277260" </w:instrText>
          </w:r>
          <w:r>
            <w:fldChar w:fldCharType="separate"/>
          </w:r>
          <w:r>
            <w:rPr>
              <w:rStyle w:val="20"/>
              <w:rFonts w:hint="eastAsia" w:ascii="仿宋" w:hAnsi="仿宋" w:eastAsia="仿宋"/>
              <w:lang w:bidi="en-US"/>
            </w:rPr>
            <w:t>七、其他需要说明的问题</w:t>
          </w:r>
          <w:r>
            <w:tab/>
          </w:r>
          <w:r>
            <w:fldChar w:fldCharType="begin"/>
          </w:r>
          <w:r>
            <w:instrText xml:space="preserve"> PAGEREF _Toc165277260 \h </w:instrText>
          </w:r>
          <w:r>
            <w:fldChar w:fldCharType="separate"/>
          </w:r>
          <w:r>
            <w:t>21</w:t>
          </w:r>
          <w:r>
            <w:fldChar w:fldCharType="end"/>
          </w:r>
          <w:r>
            <w:fldChar w:fldCharType="end"/>
          </w:r>
        </w:p>
        <w:p>
          <w:pPr>
            <w:ind w:firstLine="562"/>
          </w:pPr>
          <w:r>
            <w:rPr>
              <w:b/>
              <w:bCs/>
              <w:lang w:val="zh-CN"/>
            </w:rPr>
            <w:fldChar w:fldCharType="end"/>
          </w:r>
        </w:p>
      </w:sdtContent>
    </w:sdt>
    <w:p>
      <w:pPr>
        <w:ind w:firstLine="598" w:firstLineChars="187"/>
        <w:rPr>
          <w:rFonts w:ascii="仿宋_GB2312" w:hAnsi="Times New Roman" w:cs="Times New Roman"/>
          <w:sz w:val="32"/>
          <w:szCs w:val="32"/>
          <w:lang w:bidi="en-US"/>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pPr>
        <w:pStyle w:val="2"/>
        <w:ind w:firstLine="0" w:firstLineChars="0"/>
        <w:jc w:val="left"/>
        <w:rPr>
          <w:rFonts w:ascii="仿宋" w:hAnsi="仿宋" w:eastAsia="仿宋"/>
          <w:sz w:val="36"/>
          <w:szCs w:val="36"/>
          <w:lang w:bidi="en-US"/>
        </w:rPr>
      </w:pPr>
      <w:bookmarkStart w:id="0" w:name="_Toc165277220"/>
      <w:bookmarkStart w:id="1" w:name="_Toc67911601"/>
      <w:r>
        <w:rPr>
          <w:rFonts w:hint="eastAsia" w:ascii="仿宋" w:hAnsi="仿宋" w:eastAsia="仿宋"/>
          <w:sz w:val="36"/>
          <w:szCs w:val="36"/>
          <w:lang w:bidi="en-US"/>
        </w:rPr>
        <w:t>一、基本情况</w:t>
      </w:r>
      <w:bookmarkEnd w:id="0"/>
      <w:bookmarkEnd w:id="1"/>
    </w:p>
    <w:p>
      <w:pPr>
        <w:pStyle w:val="3"/>
        <w:ind w:firstLine="643"/>
        <w:rPr>
          <w:rFonts w:ascii="仿宋" w:hAnsi="仿宋" w:eastAsia="仿宋"/>
          <w:lang w:bidi="en-US"/>
        </w:rPr>
      </w:pPr>
      <w:bookmarkStart w:id="2" w:name="_Toc67911602"/>
      <w:bookmarkStart w:id="3" w:name="_Toc165277221"/>
      <w:r>
        <w:rPr>
          <w:rFonts w:hint="eastAsia" w:ascii="仿宋" w:hAnsi="仿宋" w:eastAsia="仿宋"/>
          <w:lang w:bidi="en-US"/>
        </w:rPr>
        <w:t>（一）项目概况：</w:t>
      </w:r>
      <w:bookmarkEnd w:id="2"/>
      <w:bookmarkEnd w:id="3"/>
    </w:p>
    <w:p>
      <w:pPr>
        <w:pStyle w:val="4"/>
        <w:ind w:firstLine="643"/>
      </w:pPr>
      <w:bookmarkStart w:id="4" w:name="_Toc165277222"/>
      <w:r>
        <w:rPr>
          <w:rFonts w:hint="eastAsia"/>
        </w:rPr>
        <w:t>1．项目背景、主要内容及实施情况</w:t>
      </w:r>
      <w:bookmarkEnd w:id="4"/>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 xml:space="preserve">根据《关于对乌鲁木齐市第一中学水磨沟区河马泉校区建设项目立项的批复》（乌发改函〔2019〕143号）、《关于对市第一中学水磨沟区河马泉校区建设项目初步设计的批复》（乌发改函〔2020〕459号）文、《乌鲁木齐市第一中学水磨沟区河马泉校区建设项目（第二批）》（乌财建〔2021〕136号）文，本项目发改委进行了立项、可研和最终的初设批复，所以本项目建设投资的合规性和项目的成熟度符合投资项目。 </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根据乌鲁木齐市教育局文件《乌教财2019》4号和乌鲁木齐市发展和改革委员会文件《乌发改函2019》143号批复精神，为促进水磨沟区河马泉片区经济发展，满足片区居民对优质教育资源的需求，2019年计划在该片区新建一所完全中学。</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乌鲁木齐市第一中学河马泉校区建设项目位于河马泉新区教育用地，河马泉新区位于水磨沟区，紧邻观园路片区，是乌鲁木齐市向东扩展的前沿地带，场地视野开阔，可南望雪莲山高尔夫球俱乐部，东眺天山博格达峰，规划面积约29平方公里，是2019年乌鲁木齐市“南控北扩、东延西进”拉大城市骨架的“东延”主战场，对水磨沟区以及乌鲁木齐市未来城镇化和服务业现代化有着极其重要的意义。</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河马泉新区是以科教文化、康体养生为核心产业，知识创新、休闲旅游为特色功能，生活居住、服务配套为基础功能的城市新区。与内地大学城相比，河马泉新区并非先建“城”，然后再“请”大学进驻其中。在河马泉新区之前，观园路目前已经汇集了新疆师范大学、医科大学、天山学院等新疆众多高校资源，在新疆大学确定将新校区搬到这里之后，乌鲁木齐的大学城呼之欲出。既然河马泉定位是宜居宜业，房产开发必不可少。2018年乌鲁木齐市首批16宗土地1200多亩挂牌出让，全都在河马泉新区。这就意味着，这里未来还有一大片住宅要新建起来。此外，观园路片区已经聚集了乌鲁木齐、水磨沟区的公务员小区、多个商业小区，这就为河马泉新区发展商业奠定基础，所以更加需要优质教育资源的落户。</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河马泉前期较荒芜，西北和东北地块拟建设新疆医科大学和新疆大学的新校区，基地以南为新疆师范大学，高校集聚的趋势为新区的发展带来新的机遇和挑战。为解决河马泉新区教育“短板”，乌鲁木齐市第一中学水磨沟区河马泉校区已确定选址在此。项目目标明确，符合国家及自治区关于中小学教育发展的政策和方针，符合乌鲁木齐市城市总体规划要求，符合乌鲁木齐市水磨沟区的实际需求。项目建设规模从乌鲁木齐市教育发展规划及扩大优势教育资源的需求出发，按照国家《城市普通中小学校校舍建设标准》（建标[2002]102号）进行建设，建设规模合理。项目的建设有利于均衡发展乌鲁木齐市基础教育，有利于培育、辐射优质教育资源，有利于水磨沟区经济和教育事业的发展。乌鲁木齐市第一中学河马泉校区建设项目的建设具有深远的影响和重要的现实意义，其社会效益显著。</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建设规模及主要内容：项目占地面积69464平方米，办学规模48个教学班，其中高中24个教学班，初中24个教学班。共2400人（其中：高中部24个班，每班50人，共1200人；初中部24个班，每班50人，共1200人）。教职工约200人。</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 xml:space="preserve">项目总建筑面积58578平方米，主设内容为初中教学楼、高中教学楼、教学综合楼、学生宿舍楼、室外卫生间、地下人防工程及地下风雨操场、学校大门、值班室、监控室、消防水池、标准塑胶运动场、塑胶篮球场及供水管网、外供电网、采暖管网、校园广播系统、校园网络系统、燃气、围墙、路面硬化、绿化、亮化、校园监控等配套设施工程。 </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项目2023年的主要实施内容：1、对校区主体及配套5栋楼宇完成施工；2、艺术馆及体育馆设备购置。</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2023年当年完成情况。 在市委市政府的关心和市教育局的领导以及各方有力配合之下，</w:t>
      </w:r>
      <w:r>
        <w:rPr>
          <w:rFonts w:hint="default" w:ascii="仿宋_GB2312" w:hAnsi="Calibri" w:eastAsia="仿宋_GB2312" w:cs="黑体"/>
          <w:b w:val="0"/>
          <w:bCs w:val="0"/>
          <w:kern w:val="2"/>
          <w:sz w:val="28"/>
          <w:szCs w:val="22"/>
          <w:lang w:val="en-US" w:eastAsia="zh-CN" w:bidi="ar-SA"/>
        </w:rPr>
        <w:t>2023年乌鲁木齐市第一中学河马泉校区已取得以下建设成果：</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1.校区内各个建筑主体已经完成施工，室外道路操场完成铺设。</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2.初中教学楼、高中教学楼、宿舍楼、综合楼、食堂体育馆内的二次装修工程均已完成。</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3.电力正常接入，电采暖供电正常。</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4.</w:t>
      </w:r>
      <w:r>
        <w:rPr>
          <w:rFonts w:hint="default" w:ascii="仿宋_GB2312" w:hAnsi="Calibri" w:eastAsia="仿宋_GB2312" w:cs="黑体"/>
          <w:b w:val="0"/>
          <w:bCs w:val="0"/>
          <w:kern w:val="2"/>
          <w:sz w:val="28"/>
          <w:szCs w:val="22"/>
          <w:lang w:val="en-US" w:eastAsia="zh-CN" w:bidi="ar-SA"/>
        </w:rPr>
        <w:t>48个教学班的电子黑板、电子班牌、课桌椅以及室内外监控已全部安装到位</w:t>
      </w:r>
      <w:r>
        <w:rPr>
          <w:rFonts w:hint="eastAsia" w:ascii="仿宋_GB2312" w:hAnsi="Calibri" w:eastAsia="仿宋_GB2312" w:cs="黑体"/>
          <w:b w:val="0"/>
          <w:bCs w:val="0"/>
          <w:kern w:val="2"/>
          <w:sz w:val="28"/>
          <w:szCs w:val="22"/>
          <w:lang w:val="en-US" w:eastAsia="zh-CN" w:bidi="ar-SA"/>
        </w:rPr>
        <w:t>。</w:t>
      </w:r>
    </w:p>
    <w:p>
      <w:pPr>
        <w:spacing w:line="520" w:lineRule="exact"/>
        <w:ind w:firstLine="560" w:firstLineChars="200"/>
        <w:rPr>
          <w:rFonts w:hint="default"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5</w:t>
      </w:r>
      <w:r>
        <w:rPr>
          <w:rFonts w:hint="default" w:ascii="仿宋_GB2312" w:hAnsi="Calibri" w:eastAsia="仿宋_GB2312" w:cs="黑体"/>
          <w:b w:val="0"/>
          <w:bCs w:val="0"/>
          <w:kern w:val="2"/>
          <w:sz w:val="28"/>
          <w:szCs w:val="22"/>
          <w:lang w:val="en-US" w:eastAsia="zh-CN" w:bidi="ar-SA"/>
        </w:rPr>
        <w:t>.校园广播系统</w:t>
      </w:r>
      <w:r>
        <w:rPr>
          <w:rFonts w:hint="eastAsia" w:ascii="仿宋_GB2312" w:hAnsi="Calibri" w:eastAsia="仿宋_GB2312" w:cs="黑体"/>
          <w:b w:val="0"/>
          <w:bCs w:val="0"/>
          <w:kern w:val="2"/>
          <w:sz w:val="28"/>
          <w:szCs w:val="22"/>
          <w:lang w:val="en-US" w:eastAsia="zh-CN" w:bidi="ar-SA"/>
        </w:rPr>
        <w:t>、基础网络铺设、中心机房、运营商线路搭建</w:t>
      </w:r>
      <w:r>
        <w:rPr>
          <w:rFonts w:hint="default" w:ascii="仿宋_GB2312" w:hAnsi="Calibri" w:eastAsia="仿宋_GB2312" w:cs="黑体"/>
          <w:b w:val="0"/>
          <w:bCs w:val="0"/>
          <w:kern w:val="2"/>
          <w:sz w:val="28"/>
          <w:szCs w:val="22"/>
          <w:lang w:val="en-US" w:eastAsia="zh-CN" w:bidi="ar-SA"/>
        </w:rPr>
        <w:t>也已完成</w:t>
      </w:r>
      <w:r>
        <w:rPr>
          <w:rFonts w:hint="eastAsia" w:ascii="仿宋_GB2312" w:hAnsi="Calibri" w:eastAsia="仿宋_GB2312" w:cs="黑体"/>
          <w:b w:val="0"/>
          <w:bCs w:val="0"/>
          <w:kern w:val="2"/>
          <w:sz w:val="28"/>
          <w:szCs w:val="22"/>
          <w:lang w:val="en-US" w:eastAsia="zh-CN" w:bidi="ar-SA"/>
        </w:rPr>
        <w:t>。</w:t>
      </w:r>
    </w:p>
    <w:p>
      <w:pPr>
        <w:spacing w:line="520" w:lineRule="exact"/>
        <w:ind w:firstLine="560" w:firstLineChars="200"/>
        <w:rPr>
          <w:rFonts w:hint="default" w:ascii="仿宋_GB2312" w:hAnsi="Calibri" w:eastAsia="仿宋_GB2312" w:cs="黑体"/>
          <w:b w:val="0"/>
          <w:bCs w:val="0"/>
          <w:kern w:val="2"/>
          <w:sz w:val="28"/>
          <w:szCs w:val="22"/>
          <w:lang w:val="en-US" w:eastAsia="zh-CN" w:bidi="ar-SA"/>
        </w:rPr>
      </w:pPr>
      <w:r>
        <w:rPr>
          <w:rFonts w:hint="default" w:ascii="仿宋_GB2312" w:hAnsi="Calibri" w:eastAsia="仿宋_GB2312" w:cs="黑体"/>
          <w:b w:val="0"/>
          <w:bCs w:val="0"/>
          <w:kern w:val="2"/>
          <w:sz w:val="28"/>
          <w:szCs w:val="22"/>
          <w:lang w:val="en-US" w:eastAsia="zh-CN" w:bidi="ar-SA"/>
        </w:rPr>
        <w:t>6.食堂的厨具和排烟系统</w:t>
      </w:r>
      <w:r>
        <w:rPr>
          <w:rFonts w:hint="eastAsia" w:ascii="仿宋_GB2312" w:hAnsi="Calibri" w:eastAsia="仿宋_GB2312" w:cs="黑体"/>
          <w:b w:val="0"/>
          <w:bCs w:val="0"/>
          <w:kern w:val="2"/>
          <w:sz w:val="28"/>
          <w:szCs w:val="22"/>
          <w:lang w:val="en-US" w:eastAsia="zh-CN" w:bidi="ar-SA"/>
        </w:rPr>
        <w:t>以及天然气管道</w:t>
      </w:r>
      <w:r>
        <w:rPr>
          <w:rFonts w:hint="default" w:ascii="仿宋_GB2312" w:hAnsi="Calibri" w:eastAsia="仿宋_GB2312" w:cs="黑体"/>
          <w:b w:val="0"/>
          <w:bCs w:val="0"/>
          <w:kern w:val="2"/>
          <w:sz w:val="28"/>
          <w:szCs w:val="22"/>
          <w:lang w:val="en-US" w:eastAsia="zh-CN" w:bidi="ar-SA"/>
        </w:rPr>
        <w:t>均已安装到位</w:t>
      </w:r>
      <w:r>
        <w:rPr>
          <w:rFonts w:hint="eastAsia" w:ascii="仿宋_GB2312" w:hAnsi="Calibri" w:eastAsia="仿宋_GB2312" w:cs="黑体"/>
          <w:b w:val="0"/>
          <w:bCs w:val="0"/>
          <w:kern w:val="2"/>
          <w:sz w:val="28"/>
          <w:szCs w:val="22"/>
          <w:lang w:val="en-US" w:eastAsia="zh-CN" w:bidi="ar-SA"/>
        </w:rPr>
        <w:t>。</w:t>
      </w:r>
    </w:p>
    <w:p>
      <w:pPr>
        <w:spacing w:line="520" w:lineRule="exact"/>
        <w:ind w:firstLine="560" w:firstLineChars="200"/>
        <w:rPr>
          <w:rFonts w:hint="default" w:ascii="仿宋_GB2312" w:hAnsi="Calibri" w:eastAsia="仿宋_GB2312" w:cs="黑体"/>
          <w:b w:val="0"/>
          <w:bCs w:val="0"/>
          <w:kern w:val="2"/>
          <w:sz w:val="28"/>
          <w:szCs w:val="22"/>
          <w:lang w:val="en-US" w:eastAsia="zh-CN" w:bidi="ar-SA"/>
        </w:rPr>
      </w:pPr>
      <w:r>
        <w:rPr>
          <w:rFonts w:hint="default" w:ascii="仿宋_GB2312" w:hAnsi="Calibri" w:eastAsia="仿宋_GB2312" w:cs="黑体"/>
          <w:b w:val="0"/>
          <w:bCs w:val="0"/>
          <w:kern w:val="2"/>
          <w:sz w:val="28"/>
          <w:szCs w:val="22"/>
          <w:lang w:val="en-US" w:eastAsia="zh-CN" w:bidi="ar-SA"/>
        </w:rPr>
        <w:t>7.公寓家具、教师办公家具和</w:t>
      </w:r>
      <w:r>
        <w:rPr>
          <w:rFonts w:hint="eastAsia" w:ascii="仿宋_GB2312" w:hAnsi="Calibri" w:eastAsia="仿宋_GB2312" w:cs="黑体"/>
          <w:b w:val="0"/>
          <w:bCs w:val="0"/>
          <w:kern w:val="2"/>
          <w:sz w:val="28"/>
          <w:szCs w:val="22"/>
          <w:lang w:val="en-US" w:eastAsia="zh-CN" w:bidi="ar-SA"/>
        </w:rPr>
        <w:t>各楼栋</w:t>
      </w:r>
      <w:r>
        <w:rPr>
          <w:rFonts w:hint="default" w:ascii="仿宋_GB2312" w:hAnsi="Calibri" w:eastAsia="仿宋_GB2312" w:cs="黑体"/>
          <w:b w:val="0"/>
          <w:bCs w:val="0"/>
          <w:kern w:val="2"/>
          <w:sz w:val="28"/>
          <w:szCs w:val="22"/>
          <w:lang w:val="en-US" w:eastAsia="zh-CN" w:bidi="ar-SA"/>
        </w:rPr>
        <w:t>窗帘的安装工作也已基本完成</w:t>
      </w:r>
      <w:r>
        <w:rPr>
          <w:rFonts w:hint="eastAsia" w:ascii="仿宋_GB2312" w:hAnsi="Calibri" w:eastAsia="仿宋_GB2312" w:cs="黑体"/>
          <w:b w:val="0"/>
          <w:bCs w:val="0"/>
          <w:kern w:val="2"/>
          <w:sz w:val="28"/>
          <w:szCs w:val="22"/>
          <w:lang w:val="en-US" w:eastAsia="zh-CN" w:bidi="ar-SA"/>
        </w:rPr>
        <w:t>。</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default" w:ascii="仿宋_GB2312" w:hAnsi="Calibri" w:eastAsia="仿宋_GB2312" w:cs="黑体"/>
          <w:b w:val="0"/>
          <w:bCs w:val="0"/>
          <w:kern w:val="2"/>
          <w:sz w:val="28"/>
          <w:szCs w:val="22"/>
          <w:lang w:val="en-US" w:eastAsia="zh-CN" w:bidi="ar-SA"/>
        </w:rPr>
        <w:t>8.实验室</w:t>
      </w:r>
      <w:r>
        <w:rPr>
          <w:rFonts w:hint="eastAsia" w:ascii="仿宋_GB2312" w:hAnsi="Calibri" w:eastAsia="仿宋_GB2312" w:cs="黑体"/>
          <w:b w:val="0"/>
          <w:bCs w:val="0"/>
          <w:kern w:val="2"/>
          <w:sz w:val="28"/>
          <w:szCs w:val="22"/>
          <w:lang w:val="en-US" w:eastAsia="zh-CN" w:bidi="ar-SA"/>
        </w:rPr>
        <w:t>装修和</w:t>
      </w:r>
      <w:r>
        <w:rPr>
          <w:rFonts w:hint="default" w:ascii="仿宋_GB2312" w:hAnsi="Calibri" w:eastAsia="仿宋_GB2312" w:cs="黑体"/>
          <w:b w:val="0"/>
          <w:bCs w:val="0"/>
          <w:kern w:val="2"/>
          <w:sz w:val="28"/>
          <w:szCs w:val="22"/>
          <w:lang w:val="en-US" w:eastAsia="zh-CN" w:bidi="ar-SA"/>
        </w:rPr>
        <w:t>设备</w:t>
      </w:r>
      <w:r>
        <w:rPr>
          <w:rFonts w:hint="eastAsia" w:ascii="仿宋_GB2312" w:hAnsi="Calibri" w:eastAsia="仿宋_GB2312" w:cs="黑体"/>
          <w:b w:val="0"/>
          <w:bCs w:val="0"/>
          <w:kern w:val="2"/>
          <w:sz w:val="28"/>
          <w:szCs w:val="22"/>
          <w:lang w:val="en-US" w:eastAsia="zh-CN" w:bidi="ar-SA"/>
        </w:rPr>
        <w:t>采购以及校园</w:t>
      </w:r>
      <w:r>
        <w:rPr>
          <w:rFonts w:hint="default" w:ascii="仿宋_GB2312" w:hAnsi="Calibri" w:eastAsia="仿宋_GB2312" w:cs="黑体"/>
          <w:b w:val="0"/>
          <w:bCs w:val="0"/>
          <w:kern w:val="2"/>
          <w:sz w:val="28"/>
          <w:szCs w:val="22"/>
          <w:lang w:val="en-US" w:eastAsia="zh-CN" w:bidi="ar-SA"/>
        </w:rPr>
        <w:t>大屏已进场并开始实施</w:t>
      </w:r>
      <w:r>
        <w:rPr>
          <w:rFonts w:hint="eastAsia" w:ascii="仿宋_GB2312" w:hAnsi="Calibri" w:eastAsia="仿宋_GB2312" w:cs="黑体"/>
          <w:b w:val="0"/>
          <w:bCs w:val="0"/>
          <w:kern w:val="2"/>
          <w:sz w:val="28"/>
          <w:szCs w:val="22"/>
          <w:lang w:val="en-US" w:eastAsia="zh-CN" w:bidi="ar-SA"/>
        </w:rPr>
        <w:t>。</w:t>
      </w:r>
    </w:p>
    <w:p>
      <w:pPr>
        <w:pStyle w:val="4"/>
        <w:ind w:firstLine="643"/>
      </w:pPr>
      <w:bookmarkStart w:id="5" w:name="_Toc165277223"/>
      <w:r>
        <w:rPr>
          <w:rFonts w:hint="eastAsia"/>
        </w:rPr>
        <w:t>2</w:t>
      </w:r>
      <w:r>
        <w:t>.资金投入和使用情况</w:t>
      </w:r>
      <w:bookmarkEnd w:id="5"/>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该项目资金投入情况：经</w:t>
      </w:r>
      <w:bookmarkStart w:id="6" w:name="fwzh"/>
      <w:r>
        <w:rPr>
          <w:rFonts w:hint="eastAsia" w:ascii="仿宋_GB2312" w:hAnsi="Calibri" w:eastAsia="仿宋_GB2312" w:cs="黑体"/>
          <w:b w:val="0"/>
          <w:bCs w:val="0"/>
          <w:kern w:val="2"/>
          <w:sz w:val="28"/>
          <w:szCs w:val="22"/>
          <w:lang w:val="en-US" w:eastAsia="zh-CN" w:bidi="ar-SA"/>
        </w:rPr>
        <w:t>乌财科教〔2023〕2号</w:t>
      </w:r>
      <w:bookmarkEnd w:id="6"/>
      <w:r>
        <w:rPr>
          <w:rFonts w:hint="eastAsia" w:ascii="仿宋_GB2312" w:hAnsi="Calibri" w:eastAsia="仿宋_GB2312" w:cs="黑体"/>
          <w:b w:val="0"/>
          <w:bCs w:val="0"/>
          <w:kern w:val="2"/>
          <w:sz w:val="28"/>
          <w:szCs w:val="22"/>
          <w:lang w:val="en-US" w:eastAsia="zh-CN" w:bidi="ar-SA"/>
        </w:rPr>
        <w:t>文件《</w:t>
      </w:r>
      <w:bookmarkStart w:id="7" w:name="filename"/>
      <w:r>
        <w:rPr>
          <w:rFonts w:hint="eastAsia" w:ascii="仿宋_GB2312" w:hAnsi="Calibri" w:eastAsia="仿宋_GB2312" w:cs="黑体"/>
          <w:b w:val="0"/>
          <w:bCs w:val="0"/>
          <w:kern w:val="2"/>
          <w:sz w:val="28"/>
          <w:szCs w:val="22"/>
          <w:lang w:val="en-US" w:eastAsia="zh-CN" w:bidi="ar-SA"/>
        </w:rPr>
        <w:t>关于2023年市本级部门预算的批复</w:t>
      </w:r>
      <w:bookmarkEnd w:id="7"/>
      <w:r>
        <w:rPr>
          <w:rFonts w:hint="eastAsia" w:ascii="仿宋_GB2312" w:hAnsi="Calibri" w:eastAsia="仿宋_GB2312" w:cs="黑体"/>
          <w:b w:val="0"/>
          <w:bCs w:val="0"/>
          <w:kern w:val="2"/>
          <w:sz w:val="28"/>
          <w:szCs w:val="22"/>
          <w:lang w:val="en-US" w:eastAsia="zh-CN" w:bidi="ar-SA"/>
        </w:rPr>
        <w:t>》批准，项目系2023年本级资金，共安排预算1600万元，于2023年年中追加预算项目资金1241.40万元，年中资金调整主体工程款、设备采购款和供电内网款，全年基建项目预算2841.40万元。</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该项目资金使用情况：</w:t>
      </w:r>
    </w:p>
    <w:p>
      <w:pPr>
        <w:spacing w:line="520" w:lineRule="exact"/>
        <w:ind w:firstLine="560" w:firstLineChars="200"/>
        <w:rPr>
          <w:rFonts w:hint="default"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总预算情况：全年基建项目预算2841.40万元，其中：年初预算1600万元，年中追加预算项目资金1241.40万元。全年基建项目支出1716.31万元。</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资金使用情况：</w:t>
      </w:r>
    </w:p>
    <w:p>
      <w:pPr>
        <w:spacing w:line="520" w:lineRule="exact"/>
        <w:ind w:firstLine="560" w:firstLineChars="200"/>
        <w:rPr>
          <w:rFonts w:hint="default"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全年基建项目预算2841.40万元，实际支出1716.31万元，资金支付完成率60.4%。</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1.河马泉校区天象馆铝制半球形天幕（双球光学天象仪系统设备）采购项目支出250.87万元；</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2.</w:t>
      </w:r>
      <w:r>
        <w:rPr>
          <w:rFonts w:hint="default" w:ascii="仿宋_GB2312" w:hAnsi="Calibri" w:eastAsia="仿宋_GB2312" w:cs="黑体"/>
          <w:b w:val="0"/>
          <w:bCs w:val="0"/>
          <w:kern w:val="2"/>
          <w:sz w:val="28"/>
          <w:szCs w:val="22"/>
          <w:lang w:val="en-US" w:eastAsia="zh-CN" w:bidi="ar-SA"/>
        </w:rPr>
        <w:t>乌鲁木齐市第一中学河马泉校区供电内网配套设施项目</w:t>
      </w:r>
      <w:r>
        <w:rPr>
          <w:rFonts w:hint="eastAsia" w:ascii="仿宋_GB2312" w:hAnsi="Calibri" w:eastAsia="仿宋_GB2312" w:cs="黑体"/>
          <w:b w:val="0"/>
          <w:bCs w:val="0"/>
          <w:kern w:val="2"/>
          <w:sz w:val="28"/>
          <w:szCs w:val="22"/>
          <w:lang w:val="en-US" w:eastAsia="zh-CN" w:bidi="ar-SA"/>
        </w:rPr>
        <w:t>支出449.17万元；</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3.</w:t>
      </w:r>
      <w:r>
        <w:rPr>
          <w:rFonts w:hint="default" w:ascii="仿宋_GB2312" w:hAnsi="Calibri" w:eastAsia="仿宋_GB2312" w:cs="黑体"/>
          <w:b w:val="0"/>
          <w:bCs w:val="0"/>
          <w:kern w:val="2"/>
          <w:sz w:val="28"/>
          <w:szCs w:val="22"/>
          <w:lang w:val="en-US" w:eastAsia="zh-CN" w:bidi="ar-SA"/>
        </w:rPr>
        <w:t>乌鲁木齐市第一中学河马泉校区艺术馆、体育馆灯光音响显示设备采购项目</w:t>
      </w:r>
      <w:r>
        <w:rPr>
          <w:rFonts w:hint="eastAsia" w:ascii="仿宋_GB2312" w:hAnsi="Calibri" w:eastAsia="仿宋_GB2312" w:cs="黑体"/>
          <w:b w:val="0"/>
          <w:bCs w:val="0"/>
          <w:kern w:val="2"/>
          <w:sz w:val="28"/>
          <w:szCs w:val="22"/>
          <w:lang w:val="en-US" w:eastAsia="zh-CN" w:bidi="ar-SA"/>
        </w:rPr>
        <w:t>支出266.30万元；</w:t>
      </w:r>
    </w:p>
    <w:p>
      <w:pPr>
        <w:spacing w:line="520" w:lineRule="exact"/>
        <w:ind w:firstLine="560" w:firstLineChars="200"/>
        <w:rPr>
          <w:rFonts w:hint="default"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4.主体工程款及二类费用支出212.22万元；</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5.绿谷校区清欠19家单位以前年度工程款和二类费用支出537.75万元。</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2023年度基建项目施工和采购基本按照年初计划有序进行，按照全市规划布局，河马泉校区将在2024年度投入使用。</w:t>
      </w:r>
    </w:p>
    <w:p>
      <w:pPr>
        <w:pStyle w:val="3"/>
        <w:ind w:firstLine="643"/>
        <w:rPr>
          <w:rFonts w:ascii="仿宋" w:hAnsi="仿宋" w:eastAsia="仿宋"/>
          <w:lang w:bidi="en-US"/>
        </w:rPr>
      </w:pPr>
      <w:bookmarkStart w:id="8" w:name="_Toc67911603"/>
      <w:bookmarkStart w:id="9" w:name="_Toc165277224"/>
      <w:r>
        <w:rPr>
          <w:rFonts w:hint="eastAsia" w:ascii="仿宋" w:hAnsi="仿宋" w:eastAsia="仿宋"/>
          <w:lang w:bidi="en-US"/>
        </w:rPr>
        <w:t>（二）项目绩效目标：</w:t>
      </w:r>
      <w:bookmarkEnd w:id="8"/>
      <w:bookmarkEnd w:id="9"/>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本项目依据《中共中央 国务院关于全面实施预算绩效管理的意见》（中发〔2018〕34号）、《关于印发〈乌鲁木齐市本级部门预算绩效目标管理暂行办法〉的通知》（乌财预</w:t>
      </w:r>
      <w:bookmarkStart w:id="10" w:name="_Hlk67566397"/>
      <w:r>
        <w:rPr>
          <w:rFonts w:hint="eastAsia" w:ascii="仿宋_GB2312" w:hAnsi="Calibri" w:eastAsia="仿宋_GB2312" w:cs="黑体"/>
          <w:b w:val="0"/>
          <w:bCs w:val="0"/>
          <w:kern w:val="2"/>
          <w:sz w:val="28"/>
          <w:szCs w:val="22"/>
          <w:lang w:val="en-US" w:eastAsia="zh-CN" w:bidi="ar-SA"/>
        </w:rPr>
        <w:t>〔2018〕56号</w:t>
      </w:r>
      <w:bookmarkEnd w:id="10"/>
      <w:r>
        <w:rPr>
          <w:rFonts w:hint="eastAsia" w:ascii="仿宋_GB2312" w:hAnsi="Calibri" w:eastAsia="仿宋_GB2312" w:cs="黑体"/>
          <w:b w:val="0"/>
          <w:bCs w:val="0"/>
          <w:kern w:val="2"/>
          <w:sz w:val="28"/>
          <w:szCs w:val="22"/>
          <w:lang w:val="en-US" w:eastAsia="zh-CN" w:bidi="ar-SA"/>
        </w:rPr>
        <w:t>）、《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该项目为跨年项目。</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该项目总体绩效目标：该项目为跨年项目，完成后总体绩效目标效果为 计划办学规模48个教学班，其中：高中24个教学班，初中24个教学班，学生共2400人，教职工约200人。拟建初中教学楼，高中教学楼，综合楼（含行政、图书、信息、电教、实验）、体育馆、食堂、地下运动场、地下车库、艺术馆（含美术、音乐、阶梯教室）、宿舍、室外卫生间、大门及门卫值班室，地面车位、室外塑胶运动场（标准400米）。总建筑面积58578平方米。项目的建设有利于均衡发展乌鲁木齐市基础教育，有利于培育、辐射优质教育资源，有利于水磨沟区经济和教育事业的发展。</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该项目阶段性目标为：新建河马泉校区现已基本建成各教学楼、综合楼、体育馆、食堂、地下运动场、地下车库等主体工程，本年度年初预算安排基建资金共计1600万元，根据总务科对本年度河马泉校区建设的安排，此项经费分为两部分，一部分为主体楼宇建设，安排资金700万元，一部分为河马泉校区购买设备，安排资金900万元。</w:t>
      </w:r>
    </w:p>
    <w:p>
      <w:pPr>
        <w:pStyle w:val="2"/>
        <w:ind w:firstLine="0" w:firstLineChars="0"/>
        <w:jc w:val="left"/>
        <w:rPr>
          <w:rFonts w:ascii="仿宋" w:hAnsi="仿宋" w:eastAsia="仿宋"/>
          <w:sz w:val="36"/>
          <w:szCs w:val="36"/>
          <w:lang w:bidi="en-US"/>
        </w:rPr>
      </w:pPr>
      <w:bookmarkStart w:id="11" w:name="_Toc165277225"/>
      <w:bookmarkStart w:id="12" w:name="_Toc67911604"/>
      <w:r>
        <w:rPr>
          <w:rFonts w:hint="eastAsia" w:ascii="仿宋" w:hAnsi="仿宋" w:eastAsia="仿宋"/>
          <w:sz w:val="36"/>
          <w:szCs w:val="36"/>
          <w:lang w:bidi="en-US"/>
        </w:rPr>
        <w:t>二、绩效评价工作开展情况</w:t>
      </w:r>
      <w:bookmarkEnd w:id="11"/>
      <w:bookmarkEnd w:id="12"/>
    </w:p>
    <w:p>
      <w:pPr>
        <w:pStyle w:val="3"/>
        <w:ind w:left="0" w:leftChars="0" w:firstLine="0" w:firstLineChars="0"/>
        <w:rPr>
          <w:rFonts w:ascii="仿宋" w:hAnsi="仿宋" w:eastAsia="仿宋"/>
          <w:lang w:bidi="en-US"/>
        </w:rPr>
      </w:pPr>
      <w:bookmarkStart w:id="13" w:name="_Toc165277226"/>
      <w:bookmarkStart w:id="14" w:name="_Toc67911605"/>
      <w:r>
        <w:rPr>
          <w:rFonts w:hint="eastAsia" w:ascii="仿宋" w:hAnsi="仿宋" w:eastAsia="仿宋"/>
          <w:lang w:bidi="en-US"/>
        </w:rPr>
        <w:t>（一）绩效评价目的、对象和范围</w:t>
      </w:r>
      <w:bookmarkEnd w:id="13"/>
      <w:bookmarkEnd w:id="14"/>
    </w:p>
    <w:p>
      <w:pPr>
        <w:pStyle w:val="4"/>
        <w:ind w:firstLine="643"/>
      </w:pPr>
      <w:bookmarkStart w:id="15" w:name="_Toc165277227"/>
      <w:r>
        <w:rPr>
          <w:rFonts w:hint="eastAsia"/>
        </w:rPr>
        <w:t>1</w:t>
      </w:r>
      <w:r>
        <w:t>.绩效评价完整性</w:t>
      </w:r>
      <w:bookmarkEnd w:id="15"/>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根据乌鲁木齐市第一中学水磨沟区河马泉校区建设项目立项批复的要求，乌鲁木齐市第一中学河马泉校区建设项目目标明确，符合国家及自治区关于中小学教育发展的政策和方针，符合乌鲁木齐市城市总体规划要求，符合乌鲁木齐市水磨沟区的实际需求。项目建设规模从乌鲁木齐市教育发展规划及扩大优势教育资源的需求出发，按照国家《城市普通中小学校校舍建设标准》（建标[2002]102号）进行建设，建设规模合理。项目的建设有利于均衡发展乌鲁木齐市基础教育，有利于培育、辐射优质教育资源，有利于水磨沟区经济和教育事业的发展。乌鲁木齐市第一中学河马泉校区建设项目的建设具有深远的影响和重要的现实意义，其社会效益显著。</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项目立项符合国家法律法规、国民经济发展规划和相关政策，设立绩效三级指标，2023年度项目目标完成校区综合楼、高中教学楼、初中教学楼、宿舍楼、体育馆及食堂楼宇的主体及相关配套建设，并完成主体竣工验收，确保2024年正常投入使用。</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通过对项目设立的背景、意义、项目内容、项目现状及绩效目标、资金投入、资金管理、组织实施、数量指标、质量指标、时效指标、成本指标和效益指标等进行深入调研和分析，进一步了解财政委托审计费项目实施情况，体现了项目实施过程和效果。</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通过评价，所有数据都来源于工作资料和原始凭证以及说明材料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pStyle w:val="4"/>
        <w:ind w:firstLine="643"/>
      </w:pPr>
      <w:bookmarkStart w:id="16" w:name="_Toc165277228"/>
      <w:r>
        <w:t>2</w:t>
      </w:r>
      <w:r>
        <w:rPr>
          <w:rFonts w:hint="eastAsia"/>
        </w:rPr>
        <w:t>.评价目的</w:t>
      </w:r>
      <w:bookmarkEnd w:id="16"/>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pStyle w:val="4"/>
        <w:ind w:firstLine="643"/>
      </w:pPr>
      <w:bookmarkStart w:id="17" w:name="_Toc165277229"/>
      <w:r>
        <w:t>3</w:t>
      </w:r>
      <w:r>
        <w:rPr>
          <w:rFonts w:hint="eastAsia"/>
        </w:rPr>
        <w:t>.评价对象</w:t>
      </w:r>
      <w:bookmarkEnd w:id="17"/>
    </w:p>
    <w:p>
      <w:pPr>
        <w:spacing w:line="360" w:lineRule="auto"/>
        <w:ind w:firstLine="560"/>
        <w:rPr>
          <w:rFonts w:ascii="仿宋_GB2312"/>
        </w:rPr>
      </w:pPr>
      <w:r>
        <w:rPr>
          <w:rFonts w:hint="eastAsia" w:ascii="仿宋_GB2312"/>
        </w:rPr>
        <w:t>（1）绩效评价的对象：</w:t>
      </w:r>
      <w:r>
        <w:rPr>
          <w:rFonts w:hint="eastAsia" w:ascii="仿宋_GB2312"/>
          <w:lang w:val="en-US" w:eastAsia="zh-CN"/>
        </w:rPr>
        <w:t>乌鲁木齐市第一中学水磨沟区河马泉校区</w:t>
      </w:r>
      <w:r>
        <w:rPr>
          <w:rFonts w:hint="eastAsia" w:ascii="仿宋_GB2312"/>
        </w:rPr>
        <w:t>项目</w:t>
      </w:r>
      <w:r>
        <w:rPr>
          <w:rFonts w:ascii="仿宋_GB2312"/>
        </w:rPr>
        <w:t xml:space="preserve"> </w:t>
      </w:r>
    </w:p>
    <w:p>
      <w:pPr>
        <w:pStyle w:val="4"/>
        <w:ind w:firstLine="643"/>
      </w:pPr>
      <w:bookmarkStart w:id="18" w:name="_Toc165277230"/>
      <w:r>
        <w:rPr>
          <w:rFonts w:hint="eastAsia"/>
        </w:rPr>
        <w:t>4</w:t>
      </w:r>
      <w:r>
        <w:t>.</w:t>
      </w:r>
      <w:r>
        <w:rPr>
          <w:rFonts w:hint="eastAsia"/>
        </w:rPr>
        <w:t>绩效评价范围</w:t>
      </w:r>
      <w:bookmarkEnd w:id="18"/>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1.时间范围：2023年1月1日至2023年12月31日。</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2.项目范围：乌鲁木齐市第一中学河马泉校区由乌鲁木齐市政府投资建筑工程建设中心代建。项目勘察和设计单位为新疆维吾尔自治区建筑设计研究院，施工总承包单位为中建三局集团有限公司，监理单位为新疆建院工程监理咨询有限公司。该项目资金财政及时拨付，单位在此次评价期间内，有序完成设定目标的部分工作任务，项目于2019年8月开工建设，截至去年底主体以及室外配套工程进度情况：</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乌鲁木齐市第一中学河马泉校区建设工程，除艺术馆区域、地下跑道区域及对应的二次装修施工尚未完成外，其他主体土建和二次装修内容均已完工。体育馆食堂正在等待验收。校区内的水电暖天然气外部管道对接已经完成，电力已在校领导的协调指挥下正常接通使用。生活用水需等待主体完全验收后才能转换用水属性。暖气采用电采暖形式，除未安装软化水装置的区域外，其他区域均可开通（未安装软化水装置的区域为初中教学楼、高中教学楼、宿舍楼的房间内）。</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在2023年度，乌鲁木齐市第一中学河马泉校区共进行了19个设备项目的招投标，这些项目涵盖了智慧校园系统、学生和教师课桌椅、办公家具、各类必需教学设备、体育馆和艺术馆的灯光音响显示设备以及多功能场馆教室设备等，旨在保障教学运行的顺利进行。此外，建管中心还组织了1项供电内网配套设施项目的招投标该项目已完成施工并投入使用。除部分设备项目因艺术馆土建未完工以及冬季部分室外工作无法开展，其余项目在12月基本已经完工。</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主要经验做法：</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一、施工前</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1、依据建筑工程立项计划、施工图纸、施工合同、施工执照、施工技术规范、投资额，组织、管理工程的施工。</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2、施工管理的任务主要由代建单位承担，有关部门密切配合。</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3、代建单位施工科根据工程的规模、施工技术要求，配备各专业工地代表，在施工过程中严格履行职责。工地代表应将工程质量作为首要管理目标，为建设高质量的工程尽职尽责。</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4、代建单位负责组织有关部门，依据设计确定的工程位置、标高，进行场地的四通一平。</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二、施工阶段</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1、施工单位进入现场后，对施工现场的情况，代建单位应书面通知施工方，以便其加强对施工现场的安全保卫工作。</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2、施工单位应根据学校建设计划和合同工期，详细制订总施工进度计划和分部、分项工程进度计划，并绘制计划网络图，报工地代表和施工科审核，同意后报代建单位和校方批准。施工过程中，工地代表应严格按进度计划控制工期，确保工程按计划完成。</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3、甲乙双方的管理组织机构应在工地现场挂牌公告，内容包括：甲方工地代表、材料员，乙方项目经理、施工队长、质量检查员、材料员等。</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4、工程开工后，工地代表要根据国家现行的建筑安装工程质量检验统一评定标准、操作规程、验收规范和规程项目的具体设计要求，对工程质量进行全面管理监督。</w:t>
      </w:r>
    </w:p>
    <w:p>
      <w:pPr>
        <w:pStyle w:val="6"/>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存在问题及原因分析：</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因疫情原因特殊工种无法进场，导致工序衔接不畅，影响工期。乌鲁木齐市第一中学水磨沟区河马泉校区建设</w:t>
      </w:r>
      <w:r>
        <w:rPr>
          <w:rFonts w:hint="eastAsia" w:ascii="仿宋_GB2312" w:cs="黑体"/>
          <w:b w:val="0"/>
          <w:bCs w:val="0"/>
          <w:kern w:val="2"/>
          <w:sz w:val="28"/>
          <w:szCs w:val="22"/>
          <w:lang w:val="en-US" w:eastAsia="zh-CN" w:bidi="ar-SA"/>
        </w:rPr>
        <w:t>项目</w:t>
      </w:r>
      <w:r>
        <w:rPr>
          <w:rFonts w:hint="eastAsia" w:ascii="仿宋_GB2312" w:hAnsi="Calibri" w:eastAsia="仿宋_GB2312" w:cs="黑体"/>
          <w:b w:val="0"/>
          <w:bCs w:val="0"/>
          <w:kern w:val="2"/>
          <w:sz w:val="28"/>
          <w:szCs w:val="22"/>
          <w:lang w:val="en-US" w:eastAsia="zh-CN" w:bidi="ar-SA"/>
        </w:rPr>
        <w:t>2022年现有人员151人，</w:t>
      </w:r>
      <w:r>
        <w:rPr>
          <w:rFonts w:hint="eastAsia" w:ascii="仿宋_GB2312" w:cs="黑体"/>
          <w:b w:val="0"/>
          <w:bCs w:val="0"/>
          <w:kern w:val="2"/>
          <w:sz w:val="28"/>
          <w:szCs w:val="22"/>
          <w:lang w:val="en-US" w:eastAsia="zh-CN" w:bidi="ar-SA"/>
        </w:rPr>
        <w:t>截至今日</w:t>
      </w:r>
      <w:r>
        <w:rPr>
          <w:rFonts w:hint="eastAsia" w:ascii="仿宋_GB2312" w:hAnsi="Calibri" w:eastAsia="仿宋_GB2312" w:cs="黑体"/>
          <w:b w:val="0"/>
          <w:bCs w:val="0"/>
          <w:kern w:val="2"/>
          <w:sz w:val="28"/>
          <w:szCs w:val="22"/>
          <w:lang w:val="en-US" w:eastAsia="zh-CN" w:bidi="ar-SA"/>
        </w:rPr>
        <w:t>核酸异常总计100人，部分时间段处于停工状态。</w:t>
      </w:r>
      <w:r>
        <w:rPr>
          <w:rFonts w:hint="eastAsia" w:ascii="仿宋_GB2312" w:cs="黑体"/>
          <w:b w:val="0"/>
          <w:bCs w:val="0"/>
          <w:kern w:val="2"/>
          <w:sz w:val="28"/>
          <w:szCs w:val="22"/>
          <w:lang w:val="en-US" w:eastAsia="zh-CN" w:bidi="ar-SA"/>
        </w:rPr>
        <w:t>艺术馆部分工序滞后直接影响到2023年艺术馆施工进度，导致相关设备安装也同时滞后。</w:t>
      </w:r>
    </w:p>
    <w:p>
      <w:pPr>
        <w:spacing w:line="520" w:lineRule="exact"/>
        <w:ind w:firstLine="560" w:firstLineChars="200"/>
        <w:rPr>
          <w:rFonts w:hint="default" w:ascii="仿宋_GB2312" w:hAnsi="Calibri" w:eastAsia="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但是校方对加强各方沟通和协调，在建管中心管理下确保安全的同时，努力推进各项工序。艺术馆已经完成主体建设，正在进行顶面龙骨施工，制定详细工期计划。确保2024年6月完成全部总体绩效目标立项施工内容，保证如期投入使用。</w:t>
      </w:r>
    </w:p>
    <w:p>
      <w:pPr>
        <w:pStyle w:val="3"/>
        <w:ind w:firstLine="643"/>
        <w:rPr>
          <w:rFonts w:ascii="仿宋" w:hAnsi="仿宋" w:eastAsia="仿宋"/>
          <w:lang w:bidi="en-US"/>
        </w:rPr>
      </w:pPr>
      <w:bookmarkStart w:id="19" w:name="_Toc165277231"/>
      <w:bookmarkStart w:id="20" w:name="_Toc67911606"/>
      <w:bookmarkStart w:id="21" w:name="_Hlk67586765"/>
      <w:r>
        <w:rPr>
          <w:rFonts w:hint="eastAsia" w:ascii="仿宋" w:hAnsi="仿宋" w:eastAsia="仿宋"/>
          <w:lang w:bidi="en-US"/>
        </w:rPr>
        <w:t>（二）绩效评价原则、指标体系、方法及标准</w:t>
      </w:r>
      <w:bookmarkEnd w:id="19"/>
      <w:bookmarkEnd w:id="20"/>
    </w:p>
    <w:bookmarkEnd w:id="21"/>
    <w:p>
      <w:pPr>
        <w:pStyle w:val="4"/>
        <w:ind w:firstLine="643"/>
      </w:pPr>
      <w:bookmarkStart w:id="22" w:name="_Toc165277232"/>
      <w:r>
        <w:rPr>
          <w:rFonts w:hint="eastAsia"/>
        </w:rPr>
        <w:t>1</w:t>
      </w:r>
      <w:r>
        <w:t>.</w:t>
      </w:r>
      <w:r>
        <w:rPr>
          <w:rFonts w:hint="eastAsia"/>
        </w:rPr>
        <w:t>评价原则</w:t>
      </w:r>
      <w:bookmarkEnd w:id="22"/>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（一）科学公正。绩效评价应当运用科学合理的方法，按照规范的程序，对项目绩效进行客观、公正的反映。</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（三）激励约束。绩效评价结果应与预算安排、政策调整、改进管理实质性挂钩，体现奖优罚劣和激励相容导向，有效要安排、低效要压减、无效要问责。</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（四）公开透明。绩效评价结果应依法依规公开，并自觉接受社会监督。</w:t>
      </w:r>
    </w:p>
    <w:p>
      <w:pPr>
        <w:pStyle w:val="4"/>
        <w:ind w:firstLine="643"/>
      </w:pPr>
      <w:bookmarkStart w:id="23" w:name="_Toc165277233"/>
      <w:r>
        <w:t>2.</w:t>
      </w:r>
      <w:r>
        <w:rPr>
          <w:rFonts w:hint="eastAsia"/>
        </w:rPr>
        <w:t>评价指标体系</w:t>
      </w:r>
      <w:bookmarkEnd w:id="23"/>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绩效评价指标体系作为衡量绩效目标实现程度的考核工具，一般遵循以下原则：</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（1）相关性原则：绩效评价指标应当与绩效目标有直接的联系，能够恰当反映目标的实现程度。</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（2）重要性原则：应当优先使用最具评价对象代表性、最能反映评价要求的核心指标。</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（3）可比性原则：对同类评价对象要设定共性的绩效评价指标，以便于评价结果可以相互比较。</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（4）系统性原则：绩效评价指标的设置应当将定量指标与定性指标相结合，能系统反映财政支出所产生的社会效益、经济效益和可持续影响等。</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（5）经济性原则：绩效评价指标设计应当通俗易懂、简便易行，数据的获得应当考虑现实条件和可操作性，符合成本效益原则。</w:t>
      </w:r>
    </w:p>
    <w:p>
      <w:pPr>
        <w:spacing w:line="520" w:lineRule="exact"/>
        <w:ind w:firstLine="560" w:firstLineChars="200"/>
        <w:rPr>
          <w:rFonts w:hint="eastAsia" w:ascii="仿宋_GB2312" w:hAnsi="Calibri" w:eastAsia="仿宋_GB2312" w:cs="黑体"/>
          <w:b w:val="0"/>
          <w:bCs w:val="0"/>
          <w:kern w:val="2"/>
          <w:sz w:val="28"/>
          <w:szCs w:val="22"/>
          <w:lang w:val="en-US" w:eastAsia="zh-CN" w:bidi="ar-SA"/>
        </w:rPr>
      </w:pPr>
      <w:r>
        <w:rPr>
          <w:rFonts w:hint="eastAsia" w:ascii="仿宋_GB2312" w:hAnsi="Calibri" w:eastAsia="仿宋_GB2312" w:cs="黑体"/>
          <w:b w:val="0"/>
          <w:bCs w:val="0"/>
          <w:kern w:val="2"/>
          <w:sz w:val="28"/>
          <w:szCs w:val="22"/>
          <w:lang w:val="en-US" w:eastAsia="zh-CN" w:bidi="ar-SA"/>
        </w:rPr>
        <w:t>本项目的评价指标体系建立如下表所示。</w:t>
      </w:r>
    </w:p>
    <w:p>
      <w:pPr>
        <w:spacing w:line="360" w:lineRule="auto"/>
        <w:ind w:firstLine="560"/>
        <w:rPr>
          <w:rFonts w:ascii="仿宋_GB2312"/>
          <w:highlight w:val="none"/>
        </w:rPr>
      </w:pPr>
    </w:p>
    <w:p>
      <w:pPr>
        <w:spacing w:line="360" w:lineRule="auto"/>
        <w:ind w:firstLine="560"/>
        <w:rPr>
          <w:rFonts w:ascii="仿宋_GB2312"/>
        </w:rPr>
      </w:pPr>
    </w:p>
    <w:p>
      <w:pPr>
        <w:spacing w:line="360" w:lineRule="auto"/>
        <w:ind w:firstLine="560"/>
        <w:rPr>
          <w:rFonts w:ascii="仿宋_GB2312"/>
        </w:rPr>
        <w:sectPr>
          <w:headerReference r:id="rId11" w:type="default"/>
          <w:footerReference r:id="rId12"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pPr>
        <w:spacing w:line="360" w:lineRule="auto"/>
        <w:ind w:firstLine="0" w:firstLineChars="0"/>
        <w:jc w:val="center"/>
        <w:rPr>
          <w:rFonts w:ascii="仿宋_GB2312"/>
          <w:b/>
          <w:bCs/>
        </w:rPr>
      </w:pPr>
      <w:r>
        <w:rPr>
          <w:rFonts w:ascii="仿宋_GB2312"/>
          <w:b/>
          <w:bCs/>
        </w:rPr>
        <w:t xml:space="preserve">  </w:t>
      </w:r>
      <w:r>
        <w:rPr>
          <w:rFonts w:hint="eastAsia" w:ascii="仿宋_GB2312"/>
          <w:b/>
          <w:bCs/>
        </w:rPr>
        <w:t>项目支出绩效评价指标体系</w:t>
      </w:r>
    </w:p>
    <w:tbl>
      <w:tblPr>
        <w:tblStyle w:val="17"/>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55"/>
        <w:gridCol w:w="1199"/>
        <w:gridCol w:w="1411"/>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155"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199"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411"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2789"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7341"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决策</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项目立项</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立项依据</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充分性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项目立项是否符合法律法规、相关政策、发展规划以及部门职责，用以反映和考核项目立项依据情况。</w:t>
            </w:r>
          </w:p>
        </w:tc>
        <w:tc>
          <w:tcPr>
            <w:tcW w:w="7341" w:type="dxa"/>
            <w:tcBorders>
              <w:tl2br w:val="nil"/>
              <w:tr2bl w:val="nil"/>
            </w:tcBorders>
            <w:shd w:val="clear" w:color="auto" w:fill="FFFFFF"/>
            <w:vAlign w:val="center"/>
          </w:tcPr>
          <w:p>
            <w:pPr>
              <w:widowControl/>
              <w:ind w:firstLine="0" w:firstLineChars="0"/>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评价要点：</w:t>
            </w:r>
          </w:p>
          <w:p>
            <w:pPr>
              <w:widowControl/>
              <w:ind w:firstLine="0" w:firstLineChars="0"/>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①项目立项是否符合国家法律法规、国民经济发展规划和相关政策；</w:t>
            </w:r>
          </w:p>
          <w:p>
            <w:pPr>
              <w:widowControl/>
              <w:ind w:firstLine="0" w:firstLineChars="0"/>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②项目立项是否符合行业发展规划和政策要求；</w:t>
            </w:r>
          </w:p>
          <w:p>
            <w:pPr>
              <w:widowControl/>
              <w:ind w:firstLine="0" w:firstLineChars="0"/>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③项目立项是否与部门职责范围相符，属于部门履职所需；</w:t>
            </w:r>
          </w:p>
          <w:p>
            <w:pPr>
              <w:widowControl/>
              <w:ind w:firstLine="0" w:firstLineChars="0"/>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④项目是否属于公共财政支持范围，是否符合中央、地方事权支出责任划分原则；</w:t>
            </w:r>
          </w:p>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立项程序</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规范性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项目申请、设立过程是否符合相关要求，用以反映和考核项目立项的规范情况。</w:t>
            </w:r>
          </w:p>
        </w:tc>
        <w:tc>
          <w:tcPr>
            <w:tcW w:w="7341" w:type="dxa"/>
            <w:tcBorders>
              <w:tl2br w:val="nil"/>
              <w:tr2bl w:val="nil"/>
            </w:tcBorders>
            <w:shd w:val="clear" w:color="auto" w:fill="FFFFFF"/>
            <w:vAlign w:val="center"/>
          </w:tcPr>
          <w:p>
            <w:pPr>
              <w:widowControl/>
              <w:ind w:firstLine="0" w:firstLineChars="0"/>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评价要点：</w:t>
            </w:r>
          </w:p>
          <w:p>
            <w:pPr>
              <w:widowControl/>
              <w:ind w:firstLine="0" w:firstLineChars="0"/>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①项目是否按照规定的程序申请设立；</w:t>
            </w:r>
          </w:p>
          <w:p>
            <w:pPr>
              <w:widowControl/>
              <w:ind w:firstLine="0" w:firstLineChars="0"/>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②审批文件、材料是否符合相关要求；</w:t>
            </w:r>
          </w:p>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合理性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项目所设定的绩效目标是否依据充分，是否符合客观实际，用以反映和考核项目绩效目标与项目实施的相符情况。</w:t>
            </w:r>
          </w:p>
        </w:tc>
        <w:tc>
          <w:tcPr>
            <w:tcW w:w="7341" w:type="dxa"/>
            <w:tcBorders>
              <w:tl2br w:val="nil"/>
              <w:tr2bl w:val="nil"/>
            </w:tcBorders>
            <w:shd w:val="clear" w:color="000000" w:fill="FFFFFF"/>
            <w:vAlign w:val="center"/>
          </w:tcPr>
          <w:p>
            <w:pPr>
              <w:widowControl/>
              <w:ind w:firstLine="0" w:firstLineChars="0"/>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评价要点：</w:t>
            </w:r>
          </w:p>
          <w:p>
            <w:pPr>
              <w:widowControl/>
              <w:ind w:firstLine="0" w:firstLineChars="0"/>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（如未设定预算绩效目标，也可考核其他工作任务目标）</w:t>
            </w:r>
          </w:p>
          <w:p>
            <w:pPr>
              <w:widowControl/>
              <w:ind w:firstLine="0" w:firstLineChars="0"/>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①项目是否有绩效目标；</w:t>
            </w:r>
          </w:p>
          <w:p>
            <w:pPr>
              <w:widowControl/>
              <w:ind w:firstLine="0" w:firstLineChars="0"/>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②项目绩效目标与实际工作内容是否具有相关性；</w:t>
            </w:r>
          </w:p>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③项目预期产出效益和效果是否符合正常的业绩水平；</w:t>
            </w:r>
          </w:p>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决策</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明确性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依据绩效目标设定的绩效指标是否清晰、细化、可衡量等，用以反映和考核项目绩效目标的明细化情况。</w:t>
            </w:r>
          </w:p>
        </w:tc>
        <w:tc>
          <w:tcPr>
            <w:tcW w:w="7341" w:type="dxa"/>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评价要点：</w:t>
            </w:r>
          </w:p>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①是否将项目绩效目标细化分解为具体的绩效指标；</w:t>
            </w:r>
          </w:p>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②是否通过清晰、可衡量的指标值予以体现；</w:t>
            </w:r>
          </w:p>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③是否与项目目标任务数或计划数相对应。</w:t>
            </w:r>
          </w:p>
          <w:p>
            <w:pPr>
              <w:widowControl/>
              <w:ind w:firstLine="0" w:firstLineChars="0"/>
              <w:rPr>
                <w:rFonts w:hint="eastAsia" w:ascii="宋体" w:hAnsi="宋体" w:eastAsia="宋体" w:cs="宋体"/>
                <w:color w:val="000000"/>
                <w:kern w:val="0"/>
                <w:sz w:val="22"/>
                <w:lang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资金投入</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预算编制</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科学性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项目预算编制是否经过科学论证、有明确标准，资金额度与年度目标是否相适应，用以反映和考核项目预算编制的科学性、合理性情况。</w:t>
            </w:r>
          </w:p>
        </w:tc>
        <w:tc>
          <w:tcPr>
            <w:tcW w:w="7341" w:type="dxa"/>
            <w:tcBorders>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评价要点：</w:t>
            </w:r>
          </w:p>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①预算编制是否经过科学论证；</w:t>
            </w:r>
          </w:p>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②预算内容与项目内容是否匹配；</w:t>
            </w:r>
          </w:p>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③预算额度测算依据是否充分，是否按照标准编制；</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资金分配</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合理性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项目预算资金分配是否有测算依据，与补助单位或地方实际是否相适应，用以反映和考核项目预算资金分配的科学性、合理性情况。</w:t>
            </w:r>
          </w:p>
        </w:tc>
        <w:tc>
          <w:tcPr>
            <w:tcW w:w="7341" w:type="dxa"/>
            <w:tcBorders>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评价要点：</w:t>
            </w:r>
          </w:p>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①预算资金分配依据是否充分；</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155" w:type="dxa"/>
            <w:vMerge w:val="restart"/>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过程</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资金管理</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资金到位率</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实际到位资金与预算资金的比率，用以反映和考核资金落实情况对项目实施的总体保障程度。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资金到位率=（实际到位资金/预算资金）×100%。</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实际到位资金：一定时期（本年度或项目期）内落实到具体项目的资金。</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预算执行率</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项目预算资金是否按照计划执行，用以反映或考核项目预算执行情况。</w:t>
            </w:r>
          </w:p>
        </w:tc>
        <w:tc>
          <w:tcPr>
            <w:tcW w:w="7341" w:type="dxa"/>
            <w:tcBorders>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预算执行率=（实际支出资金/实际到位资金）×100%。</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55" w:type="dxa"/>
            <w:vMerge w:val="restart"/>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过程</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资金管理</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资金使用</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合规性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项目资金使用是否符合相关的财务管理制度规定，用以反映和考核项目资金的规范运行情况。</w:t>
            </w:r>
          </w:p>
        </w:tc>
        <w:tc>
          <w:tcPr>
            <w:tcW w:w="7341" w:type="dxa"/>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评价要点：</w:t>
            </w:r>
          </w:p>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①是否符合国家财经法规和财务管理制度以及有关专项资金管理办法的规定；</w:t>
            </w:r>
          </w:p>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②资金的拨付是否有完整的审批程序和手续；</w:t>
            </w:r>
          </w:p>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③是否符合项目预算批复或合同规定的用途；</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组织实施</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管理制度</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健全性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项目实施单位的财务和业务管理制度是否健全，用以反映和考核财务和业务管理制度对项目顺利实施的保障情况。</w:t>
            </w:r>
          </w:p>
        </w:tc>
        <w:tc>
          <w:tcPr>
            <w:tcW w:w="7341" w:type="dxa"/>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评价要点：</w:t>
            </w:r>
          </w:p>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①是否已制定或具有相应的财务和业务管理制度；</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rPr>
            </w:pPr>
            <w:r>
              <w:rPr>
                <w:rFonts w:hint="eastAsia" w:ascii="宋体" w:hAnsi="宋体" w:eastAsia="宋体" w:cs="宋体"/>
                <w:color w:val="000000"/>
                <w:kern w:val="0"/>
                <w:sz w:val="22"/>
              </w:rPr>
              <w:t>制度执行</w:t>
            </w:r>
          </w:p>
          <w:p>
            <w:pPr>
              <w:widowControl/>
              <w:ind w:firstLine="0" w:firstLineChars="0"/>
              <w:rPr>
                <w:rFonts w:hint="eastAsia" w:ascii="宋体" w:hAnsi="宋体" w:eastAsia="宋体" w:cs="宋体"/>
                <w:color w:val="000000"/>
                <w:kern w:val="0"/>
                <w:sz w:val="22"/>
              </w:rPr>
            </w:pPr>
            <w:r>
              <w:rPr>
                <w:rFonts w:hint="eastAsia" w:ascii="宋体" w:hAnsi="宋体" w:eastAsia="宋体" w:cs="宋体"/>
                <w:color w:val="000000"/>
                <w:kern w:val="0"/>
                <w:sz w:val="22"/>
              </w:rPr>
              <w:t>有效性</w:t>
            </w:r>
          </w:p>
        </w:tc>
        <w:tc>
          <w:tcPr>
            <w:tcW w:w="2789" w:type="dxa"/>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rPr>
            </w:pPr>
            <w:r>
              <w:rPr>
                <w:rFonts w:hint="eastAsia" w:ascii="宋体" w:hAnsi="宋体" w:eastAsia="宋体" w:cs="宋体"/>
                <w:color w:val="000000"/>
                <w:kern w:val="0"/>
                <w:sz w:val="22"/>
              </w:rPr>
              <w:t>项目实施是否符合相关管理规定，用以反映和考核相关管理制度的有效执行情况。</w:t>
            </w:r>
          </w:p>
        </w:tc>
        <w:tc>
          <w:tcPr>
            <w:tcW w:w="7341" w:type="dxa"/>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评价要点：</w:t>
            </w:r>
          </w:p>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①是否遵守相关法律法规和相关管理规定；</w:t>
            </w:r>
          </w:p>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②项目调整及支出调整手续是否完备；</w:t>
            </w:r>
          </w:p>
          <w:p>
            <w:pPr>
              <w:widowControl/>
              <w:ind w:firstLine="0" w:firstLineChars="0"/>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③项目合同书、验收报告、技术鉴定等资料是否齐全并及时归档；</w:t>
            </w:r>
          </w:p>
          <w:p>
            <w:pPr>
              <w:widowControl/>
              <w:ind w:firstLine="0" w:firstLineChars="0"/>
              <w:rPr>
                <w:rFonts w:hint="eastAsia" w:ascii="宋体" w:hAnsi="宋体" w:eastAsia="宋体" w:cs="宋体"/>
                <w:color w:val="000000"/>
                <w:kern w:val="0"/>
                <w:sz w:val="22"/>
              </w:rPr>
            </w:pPr>
            <w:r>
              <w:rPr>
                <w:rFonts w:hint="eastAsia" w:ascii="宋体" w:hAnsi="宋体" w:eastAsia="宋体" w:cs="宋体"/>
                <w:color w:val="000000"/>
                <w:kern w:val="0"/>
                <w:sz w:val="2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hint="eastAsia" w:ascii="宋体" w:hAnsi="宋体" w:eastAsia="宋体" w:cs="宋体"/>
                <w:color w:val="000000"/>
                <w:kern w:val="0"/>
                <w:sz w:val="22"/>
                <w:highlight w:val="none"/>
                <w:lang w:val="en-US" w:eastAsia="zh-CN"/>
              </w:rPr>
            </w:pPr>
            <w:r>
              <w:rPr>
                <w:rFonts w:hint="eastAsia" w:ascii="宋体" w:hAnsi="宋体" w:eastAsia="宋体" w:cs="宋体"/>
                <w:color w:val="000000"/>
                <w:kern w:val="0"/>
                <w:sz w:val="22"/>
                <w:highlight w:val="none"/>
              </w:rPr>
              <w:t>产出</w:t>
            </w:r>
            <w:r>
              <w:rPr>
                <w:rFonts w:hint="eastAsia" w:ascii="宋体" w:hAnsi="宋体" w:eastAsia="宋体" w:cs="宋体"/>
                <w:color w:val="000000"/>
                <w:kern w:val="0"/>
                <w:sz w:val="22"/>
                <w:highlight w:val="none"/>
                <w:lang w:val="en-US" w:eastAsia="zh-CN"/>
              </w:rPr>
              <w:t>指标</w:t>
            </w:r>
          </w:p>
        </w:tc>
        <w:tc>
          <w:tcPr>
            <w:tcW w:w="1199" w:type="dxa"/>
            <w:vMerge w:val="restart"/>
            <w:tcBorders>
              <w:tl2br w:val="nil"/>
              <w:tr2bl w:val="nil"/>
            </w:tcBorders>
            <w:shd w:val="clear" w:color="auto" w:fill="FFFFFF"/>
            <w:vAlign w:val="center"/>
          </w:tcPr>
          <w:p>
            <w:pPr>
              <w:widowControl/>
              <w:ind w:firstLine="0" w:firstLineChars="0"/>
              <w:jc w:val="center"/>
              <w:rPr>
                <w:rFonts w:hint="eastAsia" w:ascii="宋体" w:hAnsi="宋体" w:eastAsia="宋体" w:cs="宋体"/>
                <w:color w:val="000000"/>
                <w:kern w:val="0"/>
                <w:sz w:val="22"/>
                <w:highlight w:val="none"/>
                <w:lang w:val="en-US" w:eastAsia="zh-CN"/>
              </w:rPr>
            </w:pPr>
            <w:r>
              <w:rPr>
                <w:rFonts w:hint="eastAsia" w:ascii="宋体" w:hAnsi="宋体" w:eastAsia="宋体" w:cs="宋体"/>
                <w:color w:val="000000"/>
                <w:kern w:val="0"/>
                <w:sz w:val="22"/>
                <w:highlight w:val="none"/>
              </w:rPr>
              <w:t>数量</w:t>
            </w:r>
            <w:r>
              <w:rPr>
                <w:rFonts w:hint="eastAsia" w:ascii="宋体" w:hAnsi="宋体" w:eastAsia="宋体" w:cs="宋体"/>
                <w:color w:val="000000"/>
                <w:kern w:val="0"/>
                <w:sz w:val="22"/>
                <w:highlight w:val="none"/>
                <w:lang w:val="en-US" w:eastAsia="zh-CN"/>
              </w:rPr>
              <w:t>指标</w:t>
            </w:r>
          </w:p>
        </w:tc>
        <w:tc>
          <w:tcPr>
            <w:tcW w:w="1411" w:type="dxa"/>
            <w:tcBorders>
              <w:tl2br w:val="nil"/>
              <w:tr2bl w:val="nil"/>
            </w:tcBorders>
            <w:shd w:val="clear" w:color="auto" w:fill="FFFFFF"/>
          </w:tcPr>
          <w:p>
            <w:pPr>
              <w:widowControl/>
              <w:ind w:firstLine="0" w:firstLineChars="0"/>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基建资金保障主体楼宇与相关配套建设</w:t>
            </w:r>
          </w:p>
        </w:tc>
        <w:tc>
          <w:tcPr>
            <w:tcW w:w="2789" w:type="dxa"/>
            <w:vMerge w:val="restart"/>
            <w:tcBorders>
              <w:tl2br w:val="nil"/>
              <w:tr2bl w:val="nil"/>
            </w:tcBorders>
            <w:shd w:val="clear" w:color="000000" w:fill="FFFFFF"/>
            <w:vAlign w:val="center"/>
          </w:tcPr>
          <w:p>
            <w:pPr>
              <w:widowControl/>
              <w:ind w:firstLine="0" w:firstLineChars="0"/>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计划标准</w:t>
            </w:r>
          </w:p>
        </w:tc>
        <w:tc>
          <w:tcPr>
            <w:tcW w:w="7341" w:type="dxa"/>
            <w:vMerge w:val="restart"/>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基建资金保障主体楼宇与相关配套建设≧3个</w:t>
            </w:r>
          </w:p>
          <w:p>
            <w:pPr>
              <w:widowControl/>
              <w:ind w:firstLine="0" w:firstLineChars="0"/>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设备购置资金购置场馆类别≧2类</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tcPr>
          <w:p>
            <w:pPr>
              <w:widowControl/>
              <w:ind w:firstLine="0" w:firstLineChars="0"/>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设备购置资金购置场馆类别</w:t>
            </w:r>
          </w:p>
        </w:tc>
        <w:tc>
          <w:tcPr>
            <w:tcW w:w="2789" w:type="dxa"/>
            <w:vMerge w:val="continue"/>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tcPr>
          <w:p>
            <w:pPr>
              <w:widowControl/>
              <w:ind w:firstLine="0" w:firstLineChars="0"/>
              <w:rPr>
                <w:rFonts w:hint="eastAsia" w:ascii="宋体" w:hAnsi="宋体" w:eastAsia="宋体" w:cs="宋体"/>
                <w:color w:val="000000"/>
                <w:kern w:val="0"/>
                <w:sz w:val="22"/>
              </w:rPr>
            </w:pPr>
          </w:p>
        </w:tc>
        <w:tc>
          <w:tcPr>
            <w:tcW w:w="2789" w:type="dxa"/>
            <w:vMerge w:val="continue"/>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9" w:hRule="atLeast"/>
          <w:jc w:val="center"/>
        </w:trPr>
        <w:tc>
          <w:tcPr>
            <w:tcW w:w="1155" w:type="dxa"/>
            <w:vMerge w:val="restart"/>
            <w:tcBorders>
              <w:left w:val="single" w:color="auto" w:sz="4" w:space="0"/>
              <w:tl2br w:val="nil"/>
              <w:tr2bl w:val="nil"/>
            </w:tcBorders>
            <w:shd w:val="clear" w:color="auto" w:fill="FFFFFF"/>
            <w:vAlign w:val="center"/>
          </w:tcPr>
          <w:p>
            <w:pPr>
              <w:widowControl/>
              <w:ind w:firstLine="0" w:firstLineChars="0"/>
              <w:jc w:val="center"/>
              <w:rPr>
                <w:rFonts w:hint="eastAsia" w:ascii="宋体" w:hAnsi="宋体" w:eastAsia="宋体" w:cs="宋体"/>
                <w:color w:val="000000"/>
                <w:kern w:val="0"/>
                <w:sz w:val="22"/>
                <w:highlight w:val="none"/>
                <w:lang w:val="en-US" w:eastAsia="zh-CN"/>
              </w:rPr>
            </w:pPr>
            <w:r>
              <w:rPr>
                <w:rFonts w:hint="eastAsia" w:ascii="宋体" w:hAnsi="宋体" w:eastAsia="宋体" w:cs="宋体"/>
                <w:color w:val="000000"/>
                <w:kern w:val="0"/>
                <w:sz w:val="22"/>
                <w:highlight w:val="none"/>
              </w:rPr>
              <w:t>产出</w:t>
            </w:r>
            <w:r>
              <w:rPr>
                <w:rFonts w:hint="eastAsia" w:ascii="宋体" w:hAnsi="宋体" w:eastAsia="宋体" w:cs="宋体"/>
                <w:color w:val="000000"/>
                <w:kern w:val="0"/>
                <w:sz w:val="22"/>
                <w:highlight w:val="none"/>
                <w:lang w:val="en-US" w:eastAsia="zh-CN"/>
              </w:rPr>
              <w:t>指标</w:t>
            </w:r>
          </w:p>
        </w:tc>
        <w:tc>
          <w:tcPr>
            <w:tcW w:w="1199" w:type="dxa"/>
            <w:vMerge w:val="restart"/>
            <w:tcBorders>
              <w:tl2br w:val="nil"/>
              <w:tr2bl w:val="nil"/>
            </w:tcBorders>
            <w:shd w:val="clear" w:color="auto" w:fill="FFFFFF"/>
            <w:vAlign w:val="center"/>
          </w:tcPr>
          <w:p>
            <w:pPr>
              <w:widowControl/>
              <w:ind w:firstLine="0" w:firstLineChars="0"/>
              <w:jc w:val="center"/>
              <w:rPr>
                <w:rFonts w:hint="eastAsia" w:ascii="宋体" w:hAnsi="宋体" w:eastAsia="宋体" w:cs="宋体"/>
                <w:color w:val="000000"/>
                <w:kern w:val="0"/>
                <w:sz w:val="22"/>
                <w:highlight w:val="none"/>
                <w:lang w:val="en-US" w:eastAsia="zh-CN"/>
              </w:rPr>
            </w:pPr>
            <w:r>
              <w:rPr>
                <w:rFonts w:hint="eastAsia" w:ascii="宋体" w:hAnsi="宋体" w:eastAsia="宋体" w:cs="宋体"/>
                <w:color w:val="000000"/>
                <w:kern w:val="0"/>
                <w:sz w:val="22"/>
                <w:highlight w:val="none"/>
              </w:rPr>
              <w:t>质量</w:t>
            </w:r>
            <w:r>
              <w:rPr>
                <w:rFonts w:hint="eastAsia" w:ascii="宋体" w:hAnsi="宋体" w:eastAsia="宋体" w:cs="宋体"/>
                <w:color w:val="000000"/>
                <w:kern w:val="0"/>
                <w:sz w:val="22"/>
                <w:highlight w:val="none"/>
                <w:lang w:val="en-US" w:eastAsia="zh-CN"/>
              </w:rPr>
              <w:t>指标</w:t>
            </w:r>
          </w:p>
        </w:tc>
        <w:tc>
          <w:tcPr>
            <w:tcW w:w="1411" w:type="dxa"/>
            <w:tcBorders>
              <w:tl2br w:val="nil"/>
              <w:tr2bl w:val="nil"/>
            </w:tcBorders>
            <w:shd w:val="clear" w:color="auto" w:fill="FFFFFF"/>
            <w:vAlign w:val="center"/>
          </w:tcPr>
          <w:p>
            <w:pPr>
              <w:widowControl/>
              <w:ind w:firstLine="0" w:firstLineChars="0"/>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工程验收合格率（%）</w:t>
            </w:r>
          </w:p>
        </w:tc>
        <w:tc>
          <w:tcPr>
            <w:tcW w:w="2789" w:type="dxa"/>
            <w:vMerge w:val="restart"/>
            <w:tcBorders>
              <w:tl2br w:val="nil"/>
              <w:tr2bl w:val="nil"/>
            </w:tcBorders>
            <w:shd w:val="clear" w:color="000000" w:fill="FFFFFF"/>
            <w:vAlign w:val="center"/>
          </w:tcPr>
          <w:p>
            <w:pPr>
              <w:widowControl/>
              <w:ind w:firstLine="0" w:firstLineChars="0"/>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行业和国家标准</w:t>
            </w:r>
          </w:p>
        </w:tc>
        <w:tc>
          <w:tcPr>
            <w:tcW w:w="7341" w:type="dxa"/>
            <w:vMerge w:val="restart"/>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rPr>
            </w:pPr>
            <w:r>
              <w:rPr>
                <w:rFonts w:hint="eastAsia" w:ascii="宋体" w:hAnsi="宋体" w:eastAsia="宋体" w:cs="宋体"/>
                <w:color w:val="000000"/>
                <w:kern w:val="0"/>
                <w:sz w:val="22"/>
              </w:rPr>
              <w:t>质量达标率=（质量达标产出数/实际产出数）×100%。</w:t>
            </w:r>
          </w:p>
          <w:p>
            <w:pPr>
              <w:widowControl/>
              <w:ind w:firstLine="0" w:firstLineChars="0"/>
              <w:rPr>
                <w:rFonts w:hint="eastAsia"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9" w:hRule="atLeast"/>
          <w:jc w:val="center"/>
        </w:trPr>
        <w:tc>
          <w:tcPr>
            <w:tcW w:w="1155" w:type="dxa"/>
            <w:vMerge w:val="continue"/>
            <w:tcBorders>
              <w:left w:val="single" w:color="auto" w:sz="4" w:space="0"/>
              <w:tl2br w:val="nil"/>
              <w:tr2bl w:val="nil"/>
            </w:tcBorders>
            <w:shd w:val="clear" w:color="auto" w:fill="FFFFFF"/>
            <w:vAlign w:val="center"/>
          </w:tcPr>
          <w:p>
            <w:pPr>
              <w:widowControl/>
              <w:ind w:firstLine="0" w:firstLineChars="0"/>
              <w:jc w:val="both"/>
            </w:pPr>
          </w:p>
        </w:tc>
        <w:tc>
          <w:tcPr>
            <w:tcW w:w="1199" w:type="dxa"/>
            <w:vMerge w:val="continue"/>
            <w:tcBorders>
              <w:tl2br w:val="nil"/>
              <w:tr2bl w:val="nil"/>
            </w:tcBorders>
            <w:shd w:val="clear" w:color="auto" w:fill="FFFFFF"/>
            <w:vAlign w:val="center"/>
          </w:tcPr>
          <w:p>
            <w:pPr>
              <w:widowControl/>
              <w:ind w:firstLine="0" w:firstLineChars="0"/>
              <w:jc w:val="both"/>
            </w:pPr>
          </w:p>
        </w:tc>
        <w:tc>
          <w:tcPr>
            <w:tcW w:w="1411" w:type="dxa"/>
            <w:tcBorders>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设备购置政府采购所占比例</w:t>
            </w:r>
          </w:p>
        </w:tc>
        <w:tc>
          <w:tcPr>
            <w:tcW w:w="2789" w:type="dxa"/>
            <w:vMerge w:val="continue"/>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lang w:val="en-US" w:eastAsia="zh-CN"/>
              </w:rPr>
            </w:pPr>
          </w:p>
        </w:tc>
        <w:tc>
          <w:tcPr>
            <w:tcW w:w="7341" w:type="dxa"/>
            <w:vMerge w:val="continue"/>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lang w:val="en-US"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93" w:hRule="atLeast"/>
          <w:jc w:val="center"/>
        </w:trPr>
        <w:tc>
          <w:tcPr>
            <w:tcW w:w="1155" w:type="dxa"/>
            <w:vMerge w:val="continue"/>
            <w:tcBorders>
              <w:left w:val="single" w:color="auto" w:sz="4" w:space="0"/>
              <w:tl2br w:val="nil"/>
              <w:tr2bl w:val="nil"/>
            </w:tcBorders>
            <w:shd w:val="clear" w:color="auto" w:fill="FFFFFF"/>
            <w:vAlign w:val="center"/>
          </w:tcPr>
          <w:p>
            <w:pPr>
              <w:ind w:firstLine="0" w:firstLineChars="0"/>
              <w:jc w:val="center"/>
              <w:rPr>
                <w:rFonts w:ascii="宋体" w:hAnsi="宋体" w:eastAsia="宋体" w:cs="宋体"/>
                <w:color w:val="000000"/>
                <w:kern w:val="0"/>
                <w:sz w:val="22"/>
                <w:highlight w:val="yellow"/>
              </w:rPr>
            </w:pPr>
          </w:p>
        </w:tc>
        <w:tc>
          <w:tcPr>
            <w:tcW w:w="1199" w:type="dxa"/>
            <w:vMerge w:val="restart"/>
            <w:tcBorders>
              <w:bottom w:val="single" w:color="auto" w:sz="4" w:space="0"/>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时效指标</w:t>
            </w:r>
          </w:p>
        </w:tc>
        <w:tc>
          <w:tcPr>
            <w:tcW w:w="1411" w:type="dxa"/>
            <w:tcBorders>
              <w:bottom w:val="single" w:color="auto" w:sz="4" w:space="0"/>
              <w:tl2br w:val="nil"/>
              <w:tr2bl w:val="nil"/>
            </w:tcBorders>
            <w:shd w:val="clear" w:color="auto" w:fill="FFFFFF"/>
            <w:vAlign w:val="center"/>
          </w:tcPr>
          <w:p>
            <w:pPr>
              <w:widowControl/>
              <w:ind w:firstLine="0" w:firstLineChars="0"/>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资金支付及时率</w:t>
            </w:r>
          </w:p>
        </w:tc>
        <w:tc>
          <w:tcPr>
            <w:tcW w:w="2789" w:type="dxa"/>
            <w:vMerge w:val="restart"/>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按建管中心审批计划及时上报及时支付</w:t>
            </w:r>
          </w:p>
        </w:tc>
        <w:tc>
          <w:tcPr>
            <w:tcW w:w="7341" w:type="dxa"/>
            <w:vMerge w:val="restart"/>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财政资金拨付及支付率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58" w:hRule="atLeast"/>
          <w:jc w:val="center"/>
        </w:trPr>
        <w:tc>
          <w:tcPr>
            <w:tcW w:w="1155"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restart"/>
            <w:tcBorders>
              <w:top w:val="single" w:color="auto" w:sz="4" w:space="0"/>
              <w:left w:val="single" w:color="auto" w:sz="4" w:space="0"/>
              <w:right w:val="single" w:color="auto" w:sz="4" w:space="0"/>
              <w:tl2br w:val="nil"/>
              <w:tr2bl w:val="nil"/>
            </w:tcBorders>
            <w:shd w:val="clear" w:color="auto" w:fill="FFFFFF"/>
            <w:vAlign w:val="center"/>
          </w:tcPr>
          <w:p>
            <w:pPr>
              <w:widowControl/>
              <w:ind w:firstLine="0" w:firstLineChars="0"/>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经济成本指标</w:t>
            </w:r>
          </w:p>
        </w:tc>
        <w:tc>
          <w:tcPr>
            <w:tcW w:w="1411" w:type="dxa"/>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基建资金本年度安排支出数</w:t>
            </w:r>
          </w:p>
        </w:tc>
        <w:tc>
          <w:tcPr>
            <w:tcW w:w="2789" w:type="dxa"/>
            <w:vMerge w:val="restart"/>
            <w:tcBorders>
              <w:top w:val="single" w:color="auto" w:sz="4" w:space="0"/>
              <w:left w:val="single" w:color="auto" w:sz="4" w:space="0"/>
              <w:right w:val="single" w:color="auto" w:sz="4" w:space="0"/>
              <w:tl2br w:val="nil"/>
              <w:tr2bl w:val="nil"/>
            </w:tcBorders>
            <w:shd w:val="clear" w:color="000000" w:fill="FFFFFF"/>
            <w:vAlign w:val="center"/>
          </w:tcPr>
          <w:p>
            <w:pPr>
              <w:widowControl/>
              <w:ind w:firstLine="0" w:firstLineChars="0"/>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计划标准</w:t>
            </w:r>
          </w:p>
        </w:tc>
        <w:tc>
          <w:tcPr>
            <w:tcW w:w="7341" w:type="dxa"/>
            <w:vMerge w:val="restart"/>
            <w:tcBorders>
              <w:top w:val="single" w:color="auto" w:sz="4" w:space="0"/>
              <w:left w:val="single" w:color="auto" w:sz="4" w:space="0"/>
              <w:right w:val="single" w:color="auto" w:sz="4" w:space="0"/>
              <w:tl2br w:val="nil"/>
              <w:tr2bl w:val="nil"/>
            </w:tcBorders>
            <w:shd w:val="clear" w:color="000000" w:fill="FFFFFF"/>
            <w:vAlign w:val="center"/>
          </w:tcPr>
          <w:p>
            <w:pPr>
              <w:widowControl/>
              <w:ind w:firstLine="0" w:firstLineChars="0"/>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基建资金年度安排≦700万元</w:t>
            </w:r>
          </w:p>
          <w:p>
            <w:pPr>
              <w:widowControl/>
              <w:ind w:firstLine="0" w:firstLineChars="0"/>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艺术馆设备购置资金≦600万元</w:t>
            </w:r>
          </w:p>
          <w:p>
            <w:pPr>
              <w:widowControl/>
              <w:ind w:firstLine="0" w:firstLineChars="0"/>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体育馆设备购置资金≦300万元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58" w:hRule="atLeast"/>
          <w:jc w:val="center"/>
        </w:trPr>
        <w:tc>
          <w:tcPr>
            <w:tcW w:w="1155"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pPr>
              <w:widowControl/>
              <w:ind w:firstLine="0" w:firstLineChars="0"/>
              <w:jc w:val="center"/>
            </w:pPr>
          </w:p>
        </w:tc>
        <w:tc>
          <w:tcPr>
            <w:tcW w:w="1199" w:type="dxa"/>
            <w:vMerge w:val="continue"/>
            <w:tcBorders>
              <w:left w:val="single" w:color="auto" w:sz="4" w:space="0"/>
              <w:right w:val="single" w:color="auto" w:sz="4" w:space="0"/>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val="en-US" w:eastAsia="zh-CN"/>
              </w:rPr>
            </w:pPr>
          </w:p>
        </w:tc>
        <w:tc>
          <w:tcPr>
            <w:tcW w:w="1411" w:type="dxa"/>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艺术馆设备购置资金</w:t>
            </w:r>
          </w:p>
        </w:tc>
        <w:tc>
          <w:tcPr>
            <w:tcW w:w="2789" w:type="dxa"/>
            <w:vMerge w:val="continue"/>
            <w:tcBorders>
              <w:left w:val="single" w:color="auto" w:sz="4" w:space="0"/>
              <w:right w:val="single" w:color="auto" w:sz="4" w:space="0"/>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lang w:val="en-US" w:eastAsia="zh-CN"/>
              </w:rPr>
            </w:pPr>
          </w:p>
        </w:tc>
        <w:tc>
          <w:tcPr>
            <w:tcW w:w="7341" w:type="dxa"/>
            <w:vMerge w:val="continue"/>
            <w:tcBorders>
              <w:left w:val="single" w:color="auto" w:sz="4" w:space="0"/>
              <w:right w:val="single" w:color="auto" w:sz="4" w:space="0"/>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lang w:val="en-US"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58" w:hRule="atLeast"/>
          <w:jc w:val="center"/>
        </w:trPr>
        <w:tc>
          <w:tcPr>
            <w:tcW w:w="1155" w:type="dxa"/>
            <w:vMerge w:val="continue"/>
            <w:tcBorders>
              <w:left w:val="single" w:color="auto" w:sz="4" w:space="0"/>
              <w:bottom w:val="single" w:color="auto" w:sz="4" w:space="0"/>
              <w:right w:val="single" w:color="auto" w:sz="4" w:space="0"/>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left w:val="single" w:color="auto" w:sz="4" w:space="0"/>
              <w:bottom w:val="single" w:color="auto" w:sz="4" w:space="0"/>
              <w:right w:val="single" w:color="auto" w:sz="4" w:space="0"/>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val="en-US" w:eastAsia="zh-CN"/>
              </w:rPr>
            </w:pPr>
          </w:p>
        </w:tc>
        <w:tc>
          <w:tcPr>
            <w:tcW w:w="1411" w:type="dxa"/>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体育馆设备购置资金</w:t>
            </w:r>
          </w:p>
        </w:tc>
        <w:tc>
          <w:tcPr>
            <w:tcW w:w="2789" w:type="dxa"/>
            <w:vMerge w:val="continue"/>
            <w:tcBorders>
              <w:left w:val="single" w:color="auto" w:sz="4" w:space="0"/>
              <w:bottom w:val="single" w:color="auto" w:sz="4" w:space="0"/>
              <w:right w:val="single" w:color="auto" w:sz="4" w:space="0"/>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lang w:val="en-US" w:eastAsia="zh-CN"/>
              </w:rPr>
            </w:pPr>
          </w:p>
        </w:tc>
        <w:tc>
          <w:tcPr>
            <w:tcW w:w="7341" w:type="dxa"/>
            <w:vMerge w:val="continue"/>
            <w:tcBorders>
              <w:left w:val="single" w:color="auto" w:sz="4" w:space="0"/>
              <w:bottom w:val="single" w:color="auto" w:sz="4" w:space="0"/>
              <w:right w:val="single" w:color="auto" w:sz="4" w:space="0"/>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lang w:val="en-US"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155" w:type="dxa"/>
            <w:vMerge w:val="restart"/>
            <w:tcBorders>
              <w:top w:val="single" w:color="auto" w:sz="4" w:space="0"/>
              <w:tl2br w:val="nil"/>
              <w:tr2bl w:val="nil"/>
            </w:tcBorders>
            <w:shd w:val="clear" w:color="auto" w:fill="FFFFFF"/>
            <w:vAlign w:val="center"/>
          </w:tcPr>
          <w:p>
            <w:pPr>
              <w:widowControl/>
              <w:ind w:firstLine="0" w:firstLineChars="0"/>
              <w:jc w:val="center"/>
              <w:rPr>
                <w:rFonts w:hint="eastAsia" w:ascii="宋体" w:hAnsi="宋体" w:eastAsia="宋体" w:cs="宋体"/>
                <w:color w:val="000000"/>
                <w:kern w:val="0"/>
                <w:sz w:val="22"/>
                <w:highlight w:val="yellow"/>
                <w:lang w:val="en-US" w:eastAsia="zh-CN"/>
              </w:rPr>
            </w:pPr>
            <w:r>
              <w:rPr>
                <w:rFonts w:hint="eastAsia" w:ascii="宋体" w:hAnsi="宋体" w:eastAsia="宋体" w:cs="宋体"/>
                <w:color w:val="000000"/>
                <w:kern w:val="0"/>
                <w:sz w:val="22"/>
                <w:highlight w:val="none"/>
              </w:rPr>
              <w:t>效益</w:t>
            </w:r>
            <w:r>
              <w:rPr>
                <w:rFonts w:hint="eastAsia" w:ascii="宋体" w:hAnsi="宋体" w:eastAsia="宋体" w:cs="宋体"/>
                <w:color w:val="000000"/>
                <w:kern w:val="0"/>
                <w:sz w:val="22"/>
                <w:highlight w:val="none"/>
                <w:lang w:val="en-US" w:eastAsia="zh-CN"/>
              </w:rPr>
              <w:t>指标</w:t>
            </w:r>
          </w:p>
        </w:tc>
        <w:tc>
          <w:tcPr>
            <w:tcW w:w="1199" w:type="dxa"/>
            <w:vMerge w:val="restart"/>
            <w:tcBorders>
              <w:top w:val="single" w:color="auto" w:sz="4" w:space="0"/>
              <w:tl2br w:val="nil"/>
              <w:tr2bl w:val="nil"/>
            </w:tcBorders>
            <w:shd w:val="clear" w:color="auto" w:fill="FFFFFF"/>
            <w:vAlign w:val="center"/>
          </w:tcPr>
          <w:p>
            <w:pPr>
              <w:widowControl/>
              <w:ind w:firstLine="0" w:firstLineChars="0"/>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经济效益指标</w:t>
            </w:r>
          </w:p>
        </w:tc>
        <w:tc>
          <w:tcPr>
            <w:tcW w:w="1411" w:type="dxa"/>
            <w:vMerge w:val="restart"/>
            <w:tcBorders>
              <w:top w:val="single" w:color="auto" w:sz="4" w:space="0"/>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推进优质教育资源均衡发展</w:t>
            </w:r>
          </w:p>
        </w:tc>
        <w:tc>
          <w:tcPr>
            <w:tcW w:w="2789" w:type="dxa"/>
            <w:vMerge w:val="restart"/>
            <w:tcBorders>
              <w:top w:val="single" w:color="auto" w:sz="4" w:space="0"/>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项目实施所产生的效益</w:t>
            </w:r>
          </w:p>
        </w:tc>
        <w:tc>
          <w:tcPr>
            <w:tcW w:w="7341" w:type="dxa"/>
            <w:tcBorders>
              <w:top w:val="single" w:color="auto" w:sz="4" w:space="0"/>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推进优质教育资源均衡发展进行问卷调查结果</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yellow"/>
              </w:rPr>
            </w:pPr>
          </w:p>
        </w:tc>
        <w:tc>
          <w:tcPr>
            <w:tcW w:w="1199" w:type="dxa"/>
            <w:vMerge w:val="continue"/>
            <w:tcBorders>
              <w:tl2br w:val="nil"/>
              <w:tr2bl w:val="nil"/>
            </w:tcBorders>
            <w:shd w:val="clear" w:color="auto" w:fill="FFFFFF"/>
            <w:vAlign w:val="center"/>
          </w:tcPr>
          <w:p>
            <w:pPr>
              <w:widowControl/>
              <w:ind w:firstLine="0" w:firstLineChars="0"/>
              <w:rPr>
                <w:rFonts w:hint="eastAsia" w:ascii="仿宋_GB2312" w:cs="黑体"/>
                <w:b w:val="0"/>
                <w:bCs w:val="0"/>
                <w:color w:val="000000" w:themeColor="text1"/>
                <w:kern w:val="2"/>
                <w:sz w:val="28"/>
                <w:szCs w:val="22"/>
                <w:highlight w:val="none"/>
                <w:shd w:val="clear" w:color="auto" w:fill="auto"/>
                <w:lang w:val="en-US" w:eastAsia="zh-CN" w:bidi="ar-SA"/>
                <w14:textFill>
                  <w14:solidFill>
                    <w14:schemeClr w14:val="tx1"/>
                  </w14:solidFill>
                </w14:textFill>
              </w:rPr>
            </w:pPr>
          </w:p>
        </w:tc>
        <w:tc>
          <w:tcPr>
            <w:tcW w:w="1411" w:type="dxa"/>
            <w:vMerge w:val="continue"/>
            <w:tcBorders>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val="en-US" w:eastAsia="zh-CN"/>
              </w:rPr>
            </w:pPr>
          </w:p>
        </w:tc>
        <w:tc>
          <w:tcPr>
            <w:tcW w:w="2789" w:type="dxa"/>
            <w:vMerge w:val="continue"/>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lang w:val="en-US" w:eastAsia="zh-CN"/>
              </w:rPr>
            </w:pPr>
          </w:p>
        </w:tc>
        <w:tc>
          <w:tcPr>
            <w:tcW w:w="7341" w:type="dxa"/>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社会公众或服务对象是指因该项目实施而受到影响的部门（单位）、群体或个人。一般采取社会调查的方式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tcBorders>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满意度指标情况分析</w:t>
            </w:r>
          </w:p>
        </w:tc>
        <w:tc>
          <w:tcPr>
            <w:tcW w:w="1199" w:type="dxa"/>
            <w:tcBorders>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满意度指标</w:t>
            </w:r>
          </w:p>
        </w:tc>
        <w:tc>
          <w:tcPr>
            <w:tcW w:w="1411" w:type="dxa"/>
            <w:tcBorders>
              <w:tl2br w:val="nil"/>
              <w:tr2bl w:val="nil"/>
            </w:tcBorders>
            <w:shd w:val="clear" w:color="auto" w:fill="FFFFFF"/>
            <w:vAlign w:val="center"/>
          </w:tcPr>
          <w:p>
            <w:pPr>
              <w:widowControl/>
              <w:ind w:firstLine="0" w:firstLineChars="0"/>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教师、学生和家长对项目的综合满意度</w:t>
            </w:r>
          </w:p>
        </w:tc>
        <w:tc>
          <w:tcPr>
            <w:tcW w:w="2789" w:type="dxa"/>
            <w:tcBorders>
              <w:tl2br w:val="nil"/>
              <w:tr2bl w:val="nil"/>
            </w:tcBorders>
            <w:shd w:val="clear" w:color="000000" w:fill="FFFFFF"/>
            <w:vAlign w:val="center"/>
          </w:tcPr>
          <w:p>
            <w:pPr>
              <w:widowControl/>
              <w:ind w:firstLine="0" w:firstLineChars="0"/>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大于等于90%的师生满意度。</w:t>
            </w:r>
          </w:p>
        </w:tc>
        <w:tc>
          <w:tcPr>
            <w:tcW w:w="7341" w:type="dxa"/>
            <w:tcBorders>
              <w:tl2br w:val="nil"/>
              <w:tr2bl w:val="nil"/>
            </w:tcBorders>
            <w:shd w:val="clear" w:color="000000" w:fill="FFFFFF"/>
            <w:vAlign w:val="center"/>
          </w:tcPr>
          <w:p>
            <w:pPr>
              <w:widowControl/>
              <w:ind w:firstLine="0" w:firstLineChars="0"/>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进行问卷调查结果</w:t>
            </w:r>
          </w:p>
        </w:tc>
      </w:tr>
    </w:tbl>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pPr>
        <w:pStyle w:val="4"/>
        <w:ind w:firstLine="643"/>
      </w:pPr>
      <w:bookmarkStart w:id="24" w:name="_Toc165277234"/>
      <w:bookmarkStart w:id="25" w:name="_Hlk67586038"/>
      <w:r>
        <w:t>3.</w:t>
      </w:r>
      <w:r>
        <w:rPr>
          <w:rFonts w:hint="eastAsia"/>
        </w:rPr>
        <w:t>评价方法</w:t>
      </w:r>
      <w:bookmarkEnd w:id="24"/>
    </w:p>
    <w:bookmarkEnd w:id="25"/>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rPr>
        <w:t>《</w:t>
      </w:r>
      <w:r>
        <w:rPr>
          <w:rFonts w:hint="eastAsia" w:ascii="仿宋_GB2312" w:cs="黑体"/>
          <w:b w:val="0"/>
          <w:bCs w:val="0"/>
          <w:kern w:val="2"/>
          <w:sz w:val="28"/>
          <w:szCs w:val="22"/>
          <w:lang w:val="en-US" w:eastAsia="zh-CN" w:bidi="ar-SA"/>
        </w:rPr>
        <w:t>关于印发〈项目支出绩效评价管理办法〉的通知》（财预〔2020〕10号）文件指出部门评价的方法主要包括成本效益分析法、比较法、因素分析法、最低成本法、公众评判法、标杆管理法等。</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（1）成本效益分析法。是指将投入与产出、效益进行关联性分析的方法。</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（2）比较法。是指将实施情况与绩效目标、历史情况、不同部门和地区同类支出情况进行比较的方法。</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（3）因素分析法。是指综合分析影响绩效目标实现、实施效果的内外部因素的方法。</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（4）最低成本法。是指在绩效目标确定的前提下，成本最小者为优的方法。</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（5）公众评判法。是指通过专家评估、公众问卷及抽样调查等方式进行评判的方法。</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（6）标杆管理法。是指以国内外同行业中较高的绩效水平为标杆进行评判的方法。</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（7）其他评价方法。</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根据乌鲁木齐市第一中学水磨沟区河马泉校区项目的特点，本次评价主要采用比较法和公众评判法，对项目总预算和明细预算的内容、标准、计划是否经济合理进行深入分析，以考察实际产出和效益是否达到预期。</w:t>
      </w:r>
    </w:p>
    <w:p>
      <w:pPr>
        <w:pStyle w:val="4"/>
        <w:ind w:firstLine="643"/>
      </w:pPr>
      <w:bookmarkStart w:id="26" w:name="_Toc165277235"/>
      <w:r>
        <w:t>4.</w:t>
      </w:r>
      <w:r>
        <w:rPr>
          <w:rFonts w:hint="eastAsia"/>
        </w:rPr>
        <w:t>评价标准</w:t>
      </w:r>
      <w:bookmarkEnd w:id="26"/>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绩效评价标准主要包括计划标准、行业标准、历史标准等，用于对绩效指标完成情况进行比较。</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（1）计划标准。指以预先制定的目标、计划、预算、定额等作为评价标准。</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（2）行业标准。指参照国家公布的行业指标数据制定的评价标准。</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（3）历史标准。指参照历史数据制定的评价标准，为体现绩效改进的原则，在可实现的条件下应当确定相对较高的评价标准。</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在上述评价标准的基础上，本次评价依据以下文件为重要指导和准绳：</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·《中共中央 国务院关于全面实施预算绩效管理的意见》（中发〔2018〕34号）</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·《关于印发〈乌鲁木齐市本级部门预算绩效目标管理暂行办法〉的通知》（乌财预〔2018〕56号）</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·《关于做好2019年部门预算项目支出绩效目标管理有关事宜的通知》（乌财预〔2018〕76号）</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·《项目支出绩效评价管理办法》（财预〔2020〕10号）</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·《项目支出绩效评价管理办法》（财预〔2020〕10号）</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·GB50016-2014建筑设计防火规范、GB50204-2015混凝土结构工程施工质量验收规范、GB50210-2001建筑装饰装修工程施工质量验收规范、GB50300-2013《建筑工程施工质量验收统一标准》。</w:t>
      </w:r>
    </w:p>
    <w:p>
      <w:pPr>
        <w:spacing w:line="360" w:lineRule="auto"/>
        <w:ind w:firstLine="560"/>
        <w:rPr>
          <w:rFonts w:ascii="仿宋_GB2312"/>
        </w:rPr>
      </w:pPr>
    </w:p>
    <w:p>
      <w:pPr>
        <w:pStyle w:val="3"/>
        <w:ind w:firstLine="643"/>
        <w:rPr>
          <w:rFonts w:ascii="仿宋" w:hAnsi="仿宋" w:eastAsia="仿宋"/>
          <w:lang w:bidi="en-US"/>
        </w:rPr>
      </w:pPr>
      <w:bookmarkStart w:id="27" w:name="_Toc67911607"/>
      <w:bookmarkStart w:id="28" w:name="_Toc165277236"/>
      <w:r>
        <w:rPr>
          <w:rFonts w:hint="eastAsia" w:ascii="仿宋" w:hAnsi="仿宋" w:eastAsia="仿宋"/>
          <w:lang w:bidi="en-US"/>
        </w:rPr>
        <w:t>（三）绩效评价工作过程</w:t>
      </w:r>
      <w:bookmarkEnd w:id="27"/>
      <w:bookmarkEnd w:id="28"/>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Fonts w:hint="eastAsia" w:ascii="仿宋_GB2312" w:cs="黑体"/>
          <w:b w:val="0"/>
          <w:bCs w:val="0"/>
          <w:kern w:val="2"/>
          <w:sz w:val="28"/>
          <w:szCs w:val="22"/>
          <w:lang w:val="en-US" w:eastAsia="zh-CN" w:bidi="ar-SA"/>
        </w:rPr>
        <w:footnoteReference w:id="0"/>
      </w:r>
      <w:r>
        <w:rPr>
          <w:rFonts w:hint="eastAsia" w:ascii="仿宋_GB2312" w:cs="黑体"/>
          <w:b w:val="0"/>
          <w:bCs w:val="0"/>
          <w:kern w:val="2"/>
          <w:sz w:val="28"/>
          <w:szCs w:val="22"/>
          <w:lang w:val="en-US" w:eastAsia="zh-CN" w:bidi="ar-SA"/>
        </w:rPr>
        <w:t>、材料审核分析、现场核查评价、综合分析评价及报告撰写，评价项目实施情况，展现资金使用效益。</w:t>
      </w:r>
    </w:p>
    <w:p>
      <w:pPr>
        <w:pStyle w:val="2"/>
        <w:ind w:firstLine="0" w:firstLineChars="0"/>
        <w:jc w:val="left"/>
        <w:rPr>
          <w:rFonts w:ascii="仿宋" w:hAnsi="仿宋" w:eastAsia="仿宋"/>
          <w:sz w:val="36"/>
          <w:szCs w:val="36"/>
          <w:lang w:bidi="en-US"/>
        </w:rPr>
      </w:pPr>
      <w:bookmarkStart w:id="29" w:name="_Toc165277237"/>
      <w:bookmarkStart w:id="30" w:name="_Toc67911608"/>
      <w:r>
        <w:rPr>
          <w:rFonts w:hint="eastAsia" w:ascii="仿宋" w:hAnsi="仿宋" w:eastAsia="仿宋"/>
          <w:sz w:val="36"/>
          <w:szCs w:val="36"/>
          <w:lang w:bidi="en-US"/>
        </w:rPr>
        <w:t>三、综合评价情况及评价结论</w:t>
      </w:r>
      <w:bookmarkEnd w:id="29"/>
      <w:bookmarkEnd w:id="30"/>
    </w:p>
    <w:p>
      <w:pPr>
        <w:pStyle w:val="3"/>
        <w:ind w:firstLine="643"/>
        <w:rPr>
          <w:rFonts w:ascii="仿宋" w:hAnsi="仿宋" w:eastAsia="仿宋"/>
          <w:lang w:bidi="en-US"/>
        </w:rPr>
      </w:pPr>
      <w:bookmarkStart w:id="31" w:name="_Toc165277238"/>
      <w:bookmarkStart w:id="32" w:name="_Toc67911609"/>
      <w:r>
        <w:rPr>
          <w:rFonts w:hint="eastAsia" w:ascii="仿宋" w:hAnsi="仿宋" w:eastAsia="仿宋"/>
          <w:lang w:bidi="en-US"/>
        </w:rPr>
        <w:t>（一）评价结论</w:t>
      </w:r>
      <w:bookmarkEnd w:id="31"/>
      <w:bookmarkEnd w:id="32"/>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结合项目特点，制定符合项目实际的绩效评价指标体系及评分标准，通过数据采集、问卷调查及访谈等形式，对2023年乌鲁木齐市第一中学水磨沟区河马泉校区项目进行客观评价，最终评分结果为：总分为97.05分，绩效评级为“优”</w:t>
      </w:r>
      <w:r>
        <w:rPr>
          <w:rFonts w:hint="eastAsia" w:ascii="仿宋_GB2312" w:cs="黑体"/>
          <w:b w:val="0"/>
          <w:bCs w:val="0"/>
          <w:kern w:val="2"/>
          <w:sz w:val="28"/>
          <w:szCs w:val="22"/>
          <w:lang w:val="en-US" w:eastAsia="zh-CN" w:bidi="ar-SA"/>
        </w:rPr>
        <w:footnoteReference w:id="1"/>
      </w:r>
      <w:r>
        <w:rPr>
          <w:rFonts w:hint="eastAsia" w:ascii="仿宋_GB2312" w:cs="黑体"/>
          <w:b w:val="0"/>
          <w:bCs w:val="0"/>
          <w:kern w:val="2"/>
          <w:sz w:val="28"/>
          <w:szCs w:val="22"/>
          <w:lang w:val="en-US" w:eastAsia="zh-CN" w:bidi="ar-SA"/>
        </w:rPr>
        <w:t>。</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项目各部分权重和绩效分值如附表所示：</w:t>
      </w:r>
    </w:p>
    <w:p>
      <w:pPr>
        <w:spacing w:line="360" w:lineRule="auto"/>
        <w:ind w:firstLine="0" w:firstLineChars="0"/>
        <w:jc w:val="center"/>
        <w:rPr>
          <w:rFonts w:ascii="仿宋_GB2312"/>
          <w:b/>
          <w:bCs/>
          <w:szCs w:val="28"/>
        </w:rPr>
      </w:pPr>
      <w:r>
        <w:rPr>
          <w:rFonts w:ascii="仿宋_GB2312"/>
          <w:b/>
          <w:bCs/>
          <w:szCs w:val="28"/>
        </w:rPr>
        <w:t xml:space="preserve">  </w:t>
      </w:r>
      <w:r>
        <w:rPr>
          <w:rFonts w:hint="eastAsia" w:ascii="仿宋_GB2312"/>
          <w:b/>
          <w:bCs/>
          <w:szCs w:val="28"/>
        </w:rPr>
        <w:t>项目各部分权重和绩效分值</w:t>
      </w:r>
    </w:p>
    <w:tbl>
      <w:tblPr>
        <w:tblStyle w:val="17"/>
        <w:tblW w:w="906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50"/>
        <w:gridCol w:w="1984"/>
        <w:gridCol w:w="2693"/>
        <w:gridCol w:w="898"/>
        <w:gridCol w:w="898"/>
        <w:gridCol w:w="10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blHeader/>
          <w:jc w:val="center"/>
        </w:trPr>
        <w:tc>
          <w:tcPr>
            <w:tcW w:w="1550"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一级指标</w:t>
            </w:r>
          </w:p>
        </w:tc>
        <w:tc>
          <w:tcPr>
            <w:tcW w:w="1984"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二级指标</w:t>
            </w:r>
          </w:p>
        </w:tc>
        <w:tc>
          <w:tcPr>
            <w:tcW w:w="2693"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三级指标</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分值</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得分</w:t>
            </w:r>
          </w:p>
        </w:tc>
        <w:tc>
          <w:tcPr>
            <w:tcW w:w="1039" w:type="dxa"/>
            <w:tcBorders>
              <w:tl2br w:val="nil"/>
              <w:tr2bl w:val="nil"/>
            </w:tcBorders>
            <w:shd w:val="clear" w:color="auto" w:fill="D0CECE" w:themeFill="background2" w:themeFillShade="E6"/>
            <w:vAlign w:val="center"/>
          </w:tcPr>
          <w:p>
            <w:pPr>
              <w:widowControl/>
              <w:ind w:firstLine="0" w:firstLineChars="0"/>
              <w:jc w:val="center"/>
              <w:rPr>
                <w:rFonts w:ascii="仿宋_GB2312" w:hAnsi="Gungsuh" w:cs="宋体"/>
                <w:b/>
                <w:bCs/>
                <w:kern w:val="0"/>
                <w:sz w:val="24"/>
                <w:szCs w:val="24"/>
              </w:rPr>
            </w:pPr>
            <w:r>
              <w:rPr>
                <w:rFonts w:hint="eastAsia" w:ascii="仿宋_GB2312" w:hAnsi="Gungsuh" w:cs="宋体"/>
                <w:b/>
                <w:bCs/>
                <w:kern w:val="0"/>
                <w:sz w:val="24"/>
                <w:szCs w:val="24"/>
              </w:rPr>
              <w:t>得分率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决策</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项目立项</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立项依据充分性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立项程序规范性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绩效目标</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绩效目标合理性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绩效指标明确性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资金投入</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FF0000"/>
                <w:kern w:val="0"/>
                <w:sz w:val="24"/>
                <w:szCs w:val="24"/>
              </w:rPr>
            </w:pPr>
            <w:r>
              <w:rPr>
                <w:rFonts w:hint="eastAsia" w:ascii="仿宋_GB2312" w:hAnsi="宋体" w:cs="宋体"/>
                <w:color w:val="FF0000"/>
                <w:kern w:val="0"/>
                <w:sz w:val="24"/>
                <w:szCs w:val="24"/>
              </w:rPr>
              <w:t>预算编制科学性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color w:val="FF0000"/>
                <w:kern w:val="0"/>
                <w:sz w:val="24"/>
                <w:szCs w:val="24"/>
              </w:rPr>
            </w:pPr>
            <w:r>
              <w:rPr>
                <w:rFonts w:hint="eastAsia" w:ascii="仿宋_GB2312" w:hAnsi="宋体" w:cs="宋体"/>
                <w:color w:val="FF0000"/>
                <w:kern w:val="0"/>
                <w:sz w:val="24"/>
                <w:szCs w:val="24"/>
              </w:rPr>
              <w:t>3</w:t>
            </w:r>
          </w:p>
        </w:tc>
        <w:tc>
          <w:tcPr>
            <w:tcW w:w="898"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color w:val="FF0000"/>
                <w:kern w:val="0"/>
                <w:sz w:val="24"/>
                <w:szCs w:val="24"/>
                <w:lang w:val="en-US" w:eastAsia="zh-CN" w:bidi="ar-SA"/>
              </w:rPr>
            </w:pPr>
            <w:r>
              <w:rPr>
                <w:rFonts w:hint="eastAsia" w:ascii="仿宋_GB2312" w:hAnsi="宋体" w:cs="宋体"/>
                <w:color w:val="FF0000"/>
                <w:kern w:val="0"/>
                <w:sz w:val="24"/>
                <w:szCs w:val="24"/>
                <w:lang w:val="en-US" w:eastAsia="zh-CN"/>
              </w:rPr>
              <w:t>1.8</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color w:val="FF0000"/>
                <w:kern w:val="0"/>
                <w:sz w:val="24"/>
                <w:szCs w:val="24"/>
              </w:rPr>
            </w:pPr>
            <w:r>
              <w:rPr>
                <w:rFonts w:hint="eastAsia" w:ascii="仿宋_GB2312" w:hAnsi="宋体" w:cs="宋体"/>
                <w:color w:val="FF0000"/>
                <w:kern w:val="0"/>
                <w:sz w:val="24"/>
                <w:szCs w:val="24"/>
                <w:lang w:val="en-US" w:eastAsia="zh-CN"/>
              </w:rPr>
              <w:t>60%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FF0000"/>
                <w:kern w:val="0"/>
                <w:sz w:val="24"/>
                <w:szCs w:val="24"/>
              </w:rPr>
            </w:pPr>
            <w:r>
              <w:rPr>
                <w:rFonts w:hint="eastAsia" w:ascii="仿宋_GB2312" w:hAnsi="宋体" w:cs="宋体"/>
                <w:color w:val="FF0000"/>
                <w:kern w:val="0"/>
                <w:sz w:val="24"/>
                <w:szCs w:val="24"/>
              </w:rPr>
              <w:t>资金分配合理性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color w:val="FF0000"/>
                <w:kern w:val="0"/>
                <w:sz w:val="24"/>
                <w:szCs w:val="24"/>
              </w:rPr>
            </w:pPr>
            <w:r>
              <w:rPr>
                <w:rFonts w:hint="eastAsia" w:ascii="仿宋_GB2312" w:hAnsi="宋体" w:cs="宋体"/>
                <w:color w:val="FF0000"/>
                <w:kern w:val="0"/>
                <w:sz w:val="24"/>
                <w:szCs w:val="24"/>
              </w:rPr>
              <w:t>3</w:t>
            </w:r>
          </w:p>
        </w:tc>
        <w:tc>
          <w:tcPr>
            <w:tcW w:w="898" w:type="dxa"/>
            <w:tcBorders>
              <w:tl2br w:val="nil"/>
              <w:tr2bl w:val="nil"/>
            </w:tcBorders>
            <w:shd w:val="clear" w:color="auto" w:fill="FFFFFF"/>
            <w:vAlign w:val="center"/>
          </w:tcPr>
          <w:p>
            <w:pPr>
              <w:widowControl/>
              <w:ind w:firstLine="0" w:firstLineChars="0"/>
              <w:jc w:val="center"/>
              <w:rPr>
                <w:rFonts w:ascii="仿宋_GB2312" w:hAnsi="宋体" w:eastAsia="仿宋_GB2312" w:cs="宋体"/>
                <w:color w:val="FF0000"/>
                <w:kern w:val="0"/>
                <w:sz w:val="24"/>
                <w:szCs w:val="24"/>
                <w:lang w:val="en-US" w:eastAsia="zh-CN" w:bidi="ar-SA"/>
              </w:rPr>
            </w:pPr>
            <w:r>
              <w:rPr>
                <w:rFonts w:hint="eastAsia" w:ascii="仿宋_GB2312" w:hAnsi="宋体" w:cs="宋体"/>
                <w:color w:val="FF0000"/>
                <w:kern w:val="0"/>
                <w:sz w:val="24"/>
                <w:szCs w:val="24"/>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color w:val="FF0000"/>
                <w:kern w:val="0"/>
                <w:sz w:val="24"/>
                <w:szCs w:val="24"/>
              </w:rPr>
            </w:pPr>
            <w:r>
              <w:rPr>
                <w:rFonts w:hint="eastAsia" w:ascii="仿宋_GB2312" w:hAnsi="宋体" w:cs="宋体"/>
                <w:color w:val="FF0000"/>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过程</w:t>
            </w: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资金管理</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FF0000"/>
                <w:kern w:val="0"/>
                <w:sz w:val="24"/>
                <w:szCs w:val="24"/>
              </w:rPr>
            </w:pPr>
            <w:r>
              <w:rPr>
                <w:rFonts w:hint="eastAsia" w:ascii="仿宋_GB2312" w:hAnsi="宋体" w:cs="宋体"/>
                <w:color w:val="FF0000"/>
                <w:kern w:val="0"/>
                <w:sz w:val="24"/>
                <w:szCs w:val="24"/>
              </w:rPr>
              <w:t>资金到位率</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color w:val="FF0000"/>
                <w:kern w:val="0"/>
                <w:sz w:val="24"/>
                <w:szCs w:val="24"/>
                <w:lang w:val="en-US" w:eastAsia="zh-CN"/>
              </w:rPr>
            </w:pPr>
            <w:r>
              <w:rPr>
                <w:rFonts w:hint="eastAsia" w:ascii="仿宋_GB2312" w:hAnsi="宋体" w:cs="宋体"/>
                <w:color w:val="FF0000"/>
                <w:kern w:val="0"/>
                <w:sz w:val="24"/>
                <w:szCs w:val="24"/>
                <w:lang w:val="en-US" w:eastAsia="zh-CN"/>
              </w:rPr>
              <w:t>4</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color w:val="FF0000"/>
                <w:kern w:val="0"/>
                <w:sz w:val="24"/>
                <w:szCs w:val="24"/>
                <w:lang w:val="en-US" w:eastAsia="zh-CN" w:bidi="ar-SA"/>
              </w:rPr>
            </w:pPr>
            <w:r>
              <w:rPr>
                <w:rFonts w:hint="eastAsia" w:ascii="仿宋_GB2312" w:hAnsi="宋体" w:cs="宋体"/>
                <w:color w:val="FF0000"/>
                <w:kern w:val="0"/>
                <w:sz w:val="24"/>
                <w:szCs w:val="24"/>
                <w:lang w:val="en-US" w:eastAsia="zh-CN"/>
              </w:rPr>
              <w:t>4</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FF0000"/>
                <w:kern w:val="0"/>
                <w:sz w:val="24"/>
                <w:szCs w:val="24"/>
              </w:rPr>
            </w:pPr>
            <w:r>
              <w:rPr>
                <w:rFonts w:hint="eastAsia" w:ascii="仿宋_GB2312" w:hAnsi="宋体" w:cs="宋体"/>
                <w:color w:val="FF0000"/>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FF0000"/>
                <w:kern w:val="0"/>
                <w:sz w:val="24"/>
                <w:szCs w:val="24"/>
              </w:rPr>
            </w:pPr>
            <w:r>
              <w:rPr>
                <w:rFonts w:hint="eastAsia" w:ascii="仿宋_GB2312" w:hAnsi="宋体" w:cs="宋体"/>
                <w:color w:val="FF0000"/>
                <w:kern w:val="0"/>
                <w:sz w:val="24"/>
                <w:szCs w:val="24"/>
              </w:rPr>
              <w:t>预算执行率</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color w:val="FF0000"/>
                <w:kern w:val="0"/>
                <w:sz w:val="24"/>
                <w:szCs w:val="24"/>
              </w:rPr>
            </w:pPr>
            <w:r>
              <w:rPr>
                <w:rFonts w:hint="eastAsia" w:ascii="仿宋_GB2312" w:hAnsi="宋体" w:cs="宋体"/>
                <w:color w:val="FF0000"/>
                <w:kern w:val="0"/>
                <w:sz w:val="24"/>
                <w:szCs w:val="24"/>
              </w:rPr>
              <w:t>5</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color w:val="FF0000"/>
                <w:kern w:val="0"/>
                <w:sz w:val="24"/>
                <w:szCs w:val="24"/>
                <w:lang w:val="en-US" w:eastAsia="zh-CN"/>
              </w:rPr>
            </w:pPr>
            <w:r>
              <w:rPr>
                <w:rFonts w:hint="eastAsia" w:ascii="仿宋_GB2312" w:hAnsi="宋体" w:cs="宋体"/>
                <w:color w:val="FF0000"/>
                <w:kern w:val="0"/>
                <w:sz w:val="24"/>
                <w:szCs w:val="24"/>
                <w:lang w:val="en-US" w:eastAsia="zh-CN"/>
              </w:rPr>
              <w:t>5</w:t>
            </w:r>
          </w:p>
        </w:tc>
        <w:tc>
          <w:tcPr>
            <w:tcW w:w="1039"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color w:val="FF0000"/>
                <w:kern w:val="0"/>
                <w:sz w:val="24"/>
                <w:szCs w:val="24"/>
                <w:lang w:val="en-US" w:eastAsia="zh-CN"/>
              </w:rPr>
            </w:pPr>
            <w:r>
              <w:rPr>
                <w:rFonts w:hint="eastAsia" w:ascii="仿宋_GB2312" w:hAnsi="宋体" w:cs="宋体"/>
                <w:color w:val="FF0000"/>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FF0000"/>
                <w:kern w:val="0"/>
                <w:sz w:val="24"/>
                <w:szCs w:val="24"/>
              </w:rPr>
            </w:pPr>
            <w:r>
              <w:rPr>
                <w:rFonts w:hint="eastAsia" w:ascii="仿宋_GB2312" w:hAnsi="宋体" w:cs="宋体"/>
                <w:color w:val="FF0000"/>
                <w:kern w:val="0"/>
                <w:sz w:val="24"/>
                <w:szCs w:val="24"/>
              </w:rPr>
              <w:t>资金使用合规性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color w:val="FF0000"/>
                <w:kern w:val="0"/>
                <w:sz w:val="24"/>
                <w:szCs w:val="24"/>
              </w:rPr>
            </w:pPr>
            <w:r>
              <w:rPr>
                <w:rFonts w:hint="eastAsia" w:ascii="仿宋_GB2312" w:hAnsi="宋体" w:cs="宋体"/>
                <w:color w:val="FF0000"/>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color w:val="FF0000"/>
                <w:kern w:val="0"/>
                <w:sz w:val="24"/>
                <w:szCs w:val="24"/>
              </w:rPr>
            </w:pPr>
            <w:r>
              <w:rPr>
                <w:rFonts w:hint="eastAsia" w:ascii="仿宋_GB2312" w:hAnsi="宋体" w:cs="宋体"/>
                <w:color w:val="FF0000"/>
                <w:kern w:val="0"/>
                <w:sz w:val="24"/>
                <w:szCs w:val="24"/>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FF0000"/>
                <w:kern w:val="0"/>
                <w:sz w:val="24"/>
                <w:szCs w:val="24"/>
              </w:rPr>
            </w:pPr>
            <w:r>
              <w:rPr>
                <w:rFonts w:hint="eastAsia" w:ascii="仿宋_GB2312" w:hAnsi="宋体" w:cs="宋体"/>
                <w:color w:val="FF0000"/>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组织实施</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管理制度健全性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制度执行有效性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产出</w:t>
            </w:r>
          </w:p>
        </w:tc>
        <w:tc>
          <w:tcPr>
            <w:tcW w:w="1984" w:type="dxa"/>
            <w:vMerge w:val="restart"/>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rPr>
              <w:t>数量</w:t>
            </w:r>
            <w:r>
              <w:rPr>
                <w:rFonts w:hint="eastAsia" w:ascii="仿宋_GB2312" w:hAnsi="宋体" w:cs="宋体"/>
                <w:kern w:val="0"/>
                <w:sz w:val="24"/>
                <w:szCs w:val="24"/>
                <w:highlight w:val="none"/>
                <w:lang w:val="en-US" w:eastAsia="zh-CN"/>
              </w:rPr>
              <w:t>指标</w:t>
            </w:r>
          </w:p>
        </w:tc>
        <w:tc>
          <w:tcPr>
            <w:tcW w:w="2693" w:type="dxa"/>
            <w:tcBorders>
              <w:tl2br w:val="nil"/>
              <w:tr2bl w:val="nil"/>
            </w:tcBorders>
            <w:shd w:val="clear" w:color="auto" w:fill="FFFFFF"/>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主楼宇与配套数量</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5</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5</w:t>
            </w:r>
          </w:p>
        </w:tc>
        <w:tc>
          <w:tcPr>
            <w:tcW w:w="1039" w:type="dxa"/>
            <w:vMerge w:val="restart"/>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highlight w:val="yellow"/>
                <w:lang w:val="en-US" w:eastAsia="zh-CN"/>
              </w:rPr>
            </w:pPr>
            <w:r>
              <w:rPr>
                <w:rFonts w:hint="eastAsia" w:ascii="仿宋_GB2312" w:hAnsi="宋体" w:cs="宋体"/>
                <w:kern w:val="0"/>
                <w:sz w:val="24"/>
                <w:szCs w:val="24"/>
                <w:highlight w:val="none"/>
                <w:lang w:val="en-US" w:eastAsia="zh-CN"/>
              </w:rPr>
              <w:t>50%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tcPr>
          <w:p>
            <w:pPr>
              <w:widowControl/>
              <w:ind w:firstLine="240" w:firstLineChars="100"/>
              <w:jc w:val="both"/>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设备场馆类别</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5</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p>
        </w:tc>
        <w:tc>
          <w:tcPr>
            <w:tcW w:w="1039" w:type="dxa"/>
            <w:vMerge w:val="continue"/>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rPr>
              <w:t>质量</w:t>
            </w:r>
            <w:r>
              <w:rPr>
                <w:rFonts w:hint="eastAsia" w:ascii="仿宋_GB2312" w:hAnsi="宋体" w:cs="宋体"/>
                <w:kern w:val="0"/>
                <w:sz w:val="24"/>
                <w:szCs w:val="24"/>
                <w:lang w:val="en-US" w:eastAsia="zh-CN"/>
              </w:rPr>
              <w:t>指标</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工程验收合格率</w:t>
            </w:r>
          </w:p>
        </w:tc>
        <w:tc>
          <w:tcPr>
            <w:tcW w:w="898" w:type="dxa"/>
            <w:vMerge w:val="restart"/>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rPr>
              <w:t>1</w:t>
            </w:r>
            <w:r>
              <w:rPr>
                <w:rFonts w:hint="eastAsia" w:ascii="仿宋_GB2312" w:hAnsi="宋体" w:cs="宋体"/>
                <w:kern w:val="0"/>
                <w:sz w:val="24"/>
                <w:szCs w:val="24"/>
                <w:lang w:val="en-US" w:eastAsia="zh-CN"/>
              </w:rPr>
              <w:t>5</w:t>
            </w:r>
          </w:p>
        </w:tc>
        <w:tc>
          <w:tcPr>
            <w:tcW w:w="898" w:type="dxa"/>
            <w:vMerge w:val="restart"/>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15</w:t>
            </w:r>
          </w:p>
        </w:tc>
        <w:tc>
          <w:tcPr>
            <w:tcW w:w="1039" w:type="dxa"/>
            <w:vMerge w:val="restart"/>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 w:hRule="atLeast"/>
          <w:jc w:val="center"/>
        </w:trPr>
        <w:tc>
          <w:tcPr>
            <w:tcW w:w="1550" w:type="dxa"/>
            <w:vMerge w:val="continue"/>
            <w:tcBorders>
              <w:tl2br w:val="nil"/>
              <w:tr2bl w:val="nil"/>
            </w:tcBorders>
            <w:shd w:val="clear" w:color="auto" w:fill="FFFFFF"/>
            <w:vAlign w:val="center"/>
          </w:tcPr>
          <w:p>
            <w:pPr>
              <w:widowControl/>
              <w:ind w:firstLine="0" w:firstLineChars="0"/>
              <w:jc w:val="center"/>
            </w:pPr>
          </w:p>
        </w:tc>
        <w:tc>
          <w:tcPr>
            <w:tcW w:w="1984" w:type="dxa"/>
            <w:vMerge w:val="continue"/>
            <w:tcBorders>
              <w:tl2br w:val="nil"/>
              <w:tr2bl w:val="nil"/>
            </w:tcBorders>
            <w:shd w:val="clear" w:color="auto" w:fill="FFFFFF"/>
            <w:vAlign w:val="center"/>
          </w:tcPr>
          <w:p>
            <w:pPr>
              <w:widowControl/>
              <w:ind w:firstLine="0" w:firstLineChars="0"/>
              <w:jc w:val="center"/>
            </w:pPr>
          </w:p>
        </w:tc>
        <w:tc>
          <w:tcPr>
            <w:tcW w:w="2693" w:type="dxa"/>
            <w:tcBorders>
              <w:tl2br w:val="nil"/>
              <w:tr2bl w:val="nil"/>
            </w:tcBorders>
            <w:shd w:val="clear" w:color="auto" w:fill="FFFFFF"/>
            <w:vAlign w:val="center"/>
          </w:tcPr>
          <w:p>
            <w:pPr>
              <w:widowControl/>
              <w:ind w:firstLine="0" w:firstLineChars="0"/>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设备购置所占比例</w:t>
            </w:r>
          </w:p>
        </w:tc>
        <w:tc>
          <w:tcPr>
            <w:tcW w:w="898" w:type="dxa"/>
            <w:vMerge w:val="continue"/>
            <w:tcBorders>
              <w:tl2br w:val="nil"/>
              <w:tr2bl w:val="nil"/>
            </w:tcBorders>
            <w:shd w:val="clear" w:color="000000" w:fill="FFFFFF"/>
            <w:vAlign w:val="center"/>
          </w:tcPr>
          <w:p>
            <w:pPr>
              <w:widowControl/>
              <w:ind w:firstLine="0" w:firstLineChars="0"/>
              <w:jc w:val="center"/>
              <w:rPr>
                <w:rFonts w:hint="eastAsia" w:ascii="宋体" w:hAnsi="宋体" w:eastAsia="宋体" w:cs="宋体"/>
                <w:color w:val="000000"/>
                <w:kern w:val="0"/>
                <w:sz w:val="22"/>
              </w:rPr>
            </w:pPr>
          </w:p>
        </w:tc>
        <w:tc>
          <w:tcPr>
            <w:tcW w:w="898" w:type="dxa"/>
            <w:vMerge w:val="continue"/>
            <w:tcBorders>
              <w:tl2br w:val="nil"/>
              <w:tr2bl w:val="nil"/>
            </w:tcBorders>
            <w:shd w:val="clear" w:color="000000" w:fill="FFFFFF"/>
            <w:vAlign w:val="center"/>
          </w:tcPr>
          <w:p>
            <w:pPr>
              <w:widowControl/>
              <w:ind w:firstLine="0" w:firstLineChars="0"/>
              <w:jc w:val="center"/>
              <w:rPr>
                <w:rFonts w:hint="eastAsia" w:ascii="宋体" w:hAnsi="宋体" w:eastAsia="宋体" w:cs="宋体"/>
                <w:color w:val="000000"/>
                <w:kern w:val="0"/>
                <w:sz w:val="22"/>
              </w:rPr>
            </w:pPr>
          </w:p>
        </w:tc>
        <w:tc>
          <w:tcPr>
            <w:tcW w:w="1039" w:type="dxa"/>
            <w:vMerge w:val="continue"/>
            <w:tcBorders>
              <w:tl2br w:val="nil"/>
              <w:tr2bl w:val="nil"/>
            </w:tcBorders>
            <w:shd w:val="clear" w:color="000000" w:fill="FFFFFF"/>
            <w:vAlign w:val="center"/>
          </w:tcPr>
          <w:p>
            <w:pPr>
              <w:widowControl/>
              <w:ind w:firstLine="0" w:firstLineChars="0"/>
              <w:jc w:val="center"/>
              <w:rPr>
                <w:rFonts w:hint="eastAsia"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0"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tcBorders>
              <w:tl2br w:val="nil"/>
              <w:tr2bl w:val="nil"/>
            </w:tcBorders>
            <w:shd w:val="clear" w:color="auto" w:fill="FFFFFF"/>
            <w:vAlign w:val="center"/>
          </w:tcPr>
          <w:p>
            <w:pPr>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rPr>
              <w:t>时效</w:t>
            </w:r>
            <w:r>
              <w:rPr>
                <w:rFonts w:hint="eastAsia" w:ascii="仿宋_GB2312" w:hAnsi="宋体" w:cs="宋体"/>
                <w:kern w:val="0"/>
                <w:sz w:val="24"/>
                <w:szCs w:val="24"/>
                <w:highlight w:val="none"/>
                <w:lang w:val="en-US" w:eastAsia="zh-CN"/>
              </w:rPr>
              <w:t>指标</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lang w:val="en-US" w:eastAsia="zh-CN"/>
              </w:rPr>
              <w:t>资金支付</w:t>
            </w:r>
            <w:r>
              <w:rPr>
                <w:rFonts w:hint="eastAsia" w:ascii="宋体" w:hAnsi="宋体" w:eastAsia="宋体" w:cs="宋体"/>
                <w:color w:val="000000"/>
                <w:kern w:val="0"/>
                <w:sz w:val="22"/>
              </w:rPr>
              <w:t>及时率</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w:t>
            </w:r>
          </w:p>
        </w:tc>
        <w:tc>
          <w:tcPr>
            <w:tcW w:w="1039"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经济</w:t>
            </w:r>
            <w:r>
              <w:rPr>
                <w:rFonts w:hint="eastAsia" w:ascii="仿宋_GB2312" w:hAnsi="宋体" w:cs="宋体"/>
                <w:kern w:val="0"/>
                <w:sz w:val="24"/>
                <w:szCs w:val="24"/>
              </w:rPr>
              <w:t>成本</w:t>
            </w:r>
            <w:r>
              <w:rPr>
                <w:rFonts w:hint="eastAsia" w:ascii="仿宋_GB2312" w:hAnsi="宋体" w:cs="宋体"/>
                <w:kern w:val="0"/>
                <w:sz w:val="24"/>
                <w:szCs w:val="24"/>
                <w:lang w:val="en-US" w:eastAsia="zh-CN"/>
              </w:rPr>
              <w:t>指标</w:t>
            </w:r>
          </w:p>
        </w:tc>
        <w:tc>
          <w:tcPr>
            <w:tcW w:w="2693"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基建资金本年度支出数量</w:t>
            </w:r>
          </w:p>
        </w:tc>
        <w:tc>
          <w:tcPr>
            <w:tcW w:w="898" w:type="dxa"/>
            <w:vMerge w:val="restart"/>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p>
        </w:tc>
        <w:tc>
          <w:tcPr>
            <w:tcW w:w="898" w:type="dxa"/>
            <w:vMerge w:val="restart"/>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w:t>
            </w:r>
          </w:p>
        </w:tc>
        <w:tc>
          <w:tcPr>
            <w:tcW w:w="1039" w:type="dxa"/>
            <w:vMerge w:val="restart"/>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 w:hRule="atLeast"/>
          <w:jc w:val="center"/>
        </w:trPr>
        <w:tc>
          <w:tcPr>
            <w:tcW w:w="1550" w:type="dxa"/>
            <w:vMerge w:val="continue"/>
            <w:tcBorders>
              <w:tl2br w:val="nil"/>
              <w:tr2bl w:val="nil"/>
            </w:tcBorders>
            <w:shd w:val="clear" w:color="auto" w:fill="FFFFFF"/>
            <w:vAlign w:val="center"/>
          </w:tcPr>
          <w:p>
            <w:pPr>
              <w:widowControl/>
              <w:ind w:firstLine="0" w:firstLineChars="0"/>
              <w:jc w:val="center"/>
            </w:pPr>
          </w:p>
        </w:tc>
        <w:tc>
          <w:tcPr>
            <w:tcW w:w="1984" w:type="dxa"/>
            <w:vMerge w:val="continue"/>
            <w:tcBorders>
              <w:tl2br w:val="nil"/>
              <w:tr2bl w:val="nil"/>
            </w:tcBorders>
            <w:shd w:val="clear" w:color="auto" w:fill="FFFFFF"/>
            <w:vAlign w:val="center"/>
          </w:tcPr>
          <w:p>
            <w:pPr>
              <w:widowControl/>
              <w:ind w:firstLine="0" w:firstLineChars="0"/>
              <w:jc w:val="center"/>
            </w:pPr>
          </w:p>
        </w:tc>
        <w:tc>
          <w:tcPr>
            <w:tcW w:w="2693" w:type="dxa"/>
            <w:tcBorders>
              <w:tl2br w:val="nil"/>
              <w:tr2bl w:val="nil"/>
            </w:tcBorders>
            <w:shd w:val="clear" w:color="auto" w:fill="FFFFFF"/>
            <w:vAlign w:val="center"/>
          </w:tcPr>
          <w:p>
            <w:pPr>
              <w:widowControl/>
              <w:ind w:firstLine="0" w:firstLineChars="0"/>
              <w:jc w:val="center"/>
              <w:rPr>
                <w:rFonts w:hint="default" w:ascii="仿宋_GB2312" w:hAnsi="宋体" w:cs="宋体"/>
                <w:kern w:val="0"/>
                <w:sz w:val="24"/>
                <w:szCs w:val="24"/>
                <w:lang w:val="en-US" w:eastAsia="zh-CN"/>
              </w:rPr>
            </w:pPr>
            <w:r>
              <w:rPr>
                <w:rFonts w:hint="eastAsia" w:ascii="仿宋_GB2312" w:hAnsi="宋体" w:cs="宋体"/>
                <w:kern w:val="0"/>
                <w:sz w:val="24"/>
                <w:szCs w:val="24"/>
                <w:lang w:val="en-US" w:eastAsia="zh-CN"/>
              </w:rPr>
              <w:t>艺术馆设备购置资金</w:t>
            </w:r>
          </w:p>
        </w:tc>
        <w:tc>
          <w:tcPr>
            <w:tcW w:w="898" w:type="dxa"/>
            <w:vMerge w:val="continue"/>
            <w:tcBorders>
              <w:tl2br w:val="nil"/>
              <w:tr2bl w:val="nil"/>
            </w:tcBorders>
            <w:shd w:val="clear" w:color="000000" w:fill="FFFFFF"/>
            <w:vAlign w:val="center"/>
          </w:tcPr>
          <w:p>
            <w:pPr>
              <w:widowControl/>
              <w:ind w:firstLine="0" w:firstLineChars="0"/>
              <w:jc w:val="center"/>
              <w:rPr>
                <w:rFonts w:hint="eastAsia" w:ascii="仿宋_GB2312" w:hAnsi="宋体" w:cs="宋体"/>
                <w:kern w:val="0"/>
                <w:sz w:val="24"/>
                <w:szCs w:val="24"/>
                <w:lang w:val="en-US" w:eastAsia="zh-CN"/>
              </w:rPr>
            </w:pPr>
          </w:p>
        </w:tc>
        <w:tc>
          <w:tcPr>
            <w:tcW w:w="898" w:type="dxa"/>
            <w:vMerge w:val="continue"/>
            <w:tcBorders>
              <w:tl2br w:val="nil"/>
              <w:tr2bl w:val="nil"/>
            </w:tcBorders>
            <w:shd w:val="clear" w:color="000000" w:fill="FFFFFF"/>
            <w:vAlign w:val="center"/>
          </w:tcPr>
          <w:p>
            <w:pPr>
              <w:widowControl/>
              <w:ind w:firstLine="0" w:firstLineChars="0"/>
              <w:jc w:val="center"/>
              <w:rPr>
                <w:rFonts w:hint="eastAsia" w:ascii="仿宋_GB2312" w:hAnsi="宋体" w:cs="宋体"/>
                <w:kern w:val="0"/>
                <w:sz w:val="24"/>
                <w:szCs w:val="24"/>
                <w:lang w:val="en-US" w:eastAsia="zh-CN"/>
              </w:rPr>
            </w:pPr>
          </w:p>
        </w:tc>
        <w:tc>
          <w:tcPr>
            <w:tcW w:w="1039" w:type="dxa"/>
            <w:vMerge w:val="continue"/>
            <w:tcBorders>
              <w:tl2br w:val="nil"/>
              <w:tr2bl w:val="nil"/>
            </w:tcBorders>
            <w:shd w:val="clear" w:color="000000" w:fill="FFFFFF"/>
            <w:vAlign w:val="center"/>
          </w:tcPr>
          <w:p>
            <w:pPr>
              <w:widowControl/>
              <w:ind w:firstLine="0" w:firstLineChars="0"/>
              <w:jc w:val="center"/>
              <w:rPr>
                <w:rFonts w:hint="eastAsia" w:ascii="仿宋_GB2312" w:hAnsi="宋体" w:cs="宋体"/>
                <w:kern w:val="0"/>
                <w:sz w:val="24"/>
                <w:szCs w:val="24"/>
                <w:lang w:val="en-US"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 w:hRule="atLeast"/>
          <w:jc w:val="center"/>
        </w:trPr>
        <w:tc>
          <w:tcPr>
            <w:tcW w:w="1550" w:type="dxa"/>
            <w:vMerge w:val="continue"/>
            <w:tcBorders>
              <w:tl2br w:val="nil"/>
              <w:tr2bl w:val="nil"/>
            </w:tcBorders>
            <w:shd w:val="clear" w:color="auto" w:fill="FFFFFF"/>
            <w:vAlign w:val="center"/>
          </w:tcPr>
          <w:p>
            <w:pPr>
              <w:widowControl/>
              <w:ind w:firstLine="0" w:firstLineChars="0"/>
              <w:jc w:val="center"/>
            </w:pPr>
          </w:p>
        </w:tc>
        <w:tc>
          <w:tcPr>
            <w:tcW w:w="1984" w:type="dxa"/>
            <w:vMerge w:val="continue"/>
            <w:tcBorders>
              <w:tl2br w:val="nil"/>
              <w:tr2bl w:val="nil"/>
            </w:tcBorders>
            <w:shd w:val="clear" w:color="auto" w:fill="FFFFFF"/>
            <w:vAlign w:val="center"/>
          </w:tcPr>
          <w:p>
            <w:pPr>
              <w:widowControl/>
              <w:ind w:firstLine="0" w:firstLineChars="0"/>
              <w:jc w:val="center"/>
            </w:pPr>
          </w:p>
        </w:tc>
        <w:tc>
          <w:tcPr>
            <w:tcW w:w="2693" w:type="dxa"/>
            <w:tcBorders>
              <w:tl2br w:val="nil"/>
              <w:tr2bl w:val="nil"/>
            </w:tcBorders>
            <w:shd w:val="clear" w:color="auto" w:fill="FFFFFF"/>
            <w:vAlign w:val="center"/>
          </w:tcPr>
          <w:p>
            <w:pPr>
              <w:widowControl/>
              <w:ind w:firstLine="0" w:firstLineChars="0"/>
              <w:jc w:val="center"/>
              <w:rPr>
                <w:rFonts w:hint="default" w:ascii="仿宋_GB2312" w:hAnsi="宋体" w:cs="宋体"/>
                <w:kern w:val="0"/>
                <w:sz w:val="24"/>
                <w:szCs w:val="24"/>
                <w:lang w:val="en-US" w:eastAsia="zh-CN"/>
              </w:rPr>
            </w:pPr>
            <w:r>
              <w:rPr>
                <w:rFonts w:hint="eastAsia" w:ascii="仿宋_GB2312" w:hAnsi="宋体" w:cs="宋体"/>
                <w:kern w:val="0"/>
                <w:sz w:val="24"/>
                <w:szCs w:val="24"/>
                <w:lang w:val="en-US" w:eastAsia="zh-CN"/>
              </w:rPr>
              <w:t>体育馆设备购置资金</w:t>
            </w:r>
          </w:p>
        </w:tc>
        <w:tc>
          <w:tcPr>
            <w:tcW w:w="898" w:type="dxa"/>
            <w:vMerge w:val="continue"/>
            <w:tcBorders>
              <w:tl2br w:val="nil"/>
              <w:tr2bl w:val="nil"/>
            </w:tcBorders>
            <w:shd w:val="clear" w:color="000000" w:fill="FFFFFF"/>
            <w:vAlign w:val="center"/>
          </w:tcPr>
          <w:p>
            <w:pPr>
              <w:widowControl/>
              <w:ind w:firstLine="0" w:firstLineChars="0"/>
              <w:jc w:val="center"/>
              <w:rPr>
                <w:rFonts w:hint="eastAsia" w:ascii="仿宋_GB2312" w:hAnsi="宋体" w:cs="宋体"/>
                <w:kern w:val="0"/>
                <w:sz w:val="24"/>
                <w:szCs w:val="24"/>
                <w:lang w:val="en-US" w:eastAsia="zh-CN"/>
              </w:rPr>
            </w:pPr>
          </w:p>
        </w:tc>
        <w:tc>
          <w:tcPr>
            <w:tcW w:w="898" w:type="dxa"/>
            <w:vMerge w:val="continue"/>
            <w:tcBorders>
              <w:tl2br w:val="nil"/>
              <w:tr2bl w:val="nil"/>
            </w:tcBorders>
            <w:shd w:val="clear" w:color="000000" w:fill="FFFFFF"/>
            <w:vAlign w:val="center"/>
          </w:tcPr>
          <w:p>
            <w:pPr>
              <w:widowControl/>
              <w:ind w:firstLine="0" w:firstLineChars="0"/>
              <w:jc w:val="center"/>
              <w:rPr>
                <w:rFonts w:hint="eastAsia" w:ascii="仿宋_GB2312" w:hAnsi="宋体" w:cs="宋体"/>
                <w:kern w:val="0"/>
                <w:sz w:val="24"/>
                <w:szCs w:val="24"/>
                <w:lang w:val="en-US" w:eastAsia="zh-CN"/>
              </w:rPr>
            </w:pPr>
          </w:p>
        </w:tc>
        <w:tc>
          <w:tcPr>
            <w:tcW w:w="1039" w:type="dxa"/>
            <w:vMerge w:val="continue"/>
            <w:tcBorders>
              <w:tl2br w:val="nil"/>
              <w:tr2bl w:val="nil"/>
            </w:tcBorders>
            <w:shd w:val="clear" w:color="000000" w:fill="FFFFFF"/>
            <w:vAlign w:val="center"/>
          </w:tcPr>
          <w:p>
            <w:pPr>
              <w:widowControl/>
              <w:ind w:firstLine="0" w:firstLineChars="0"/>
              <w:jc w:val="center"/>
              <w:rPr>
                <w:rFonts w:hint="eastAsia" w:ascii="仿宋_GB2312" w:hAnsi="宋体" w:cs="宋体"/>
                <w:kern w:val="0"/>
                <w:sz w:val="24"/>
                <w:szCs w:val="24"/>
                <w:lang w:val="en-US"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效益</w:t>
            </w:r>
          </w:p>
        </w:tc>
        <w:tc>
          <w:tcPr>
            <w:tcW w:w="1984"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经济</w:t>
            </w:r>
            <w:r>
              <w:rPr>
                <w:rFonts w:hint="eastAsia" w:ascii="仿宋_GB2312" w:hAnsi="宋体" w:cs="宋体"/>
                <w:kern w:val="0"/>
                <w:sz w:val="24"/>
                <w:szCs w:val="24"/>
                <w:highlight w:val="none"/>
              </w:rPr>
              <w:t>效益</w:t>
            </w:r>
            <w:r>
              <w:rPr>
                <w:rFonts w:hint="eastAsia" w:ascii="仿宋_GB2312" w:hAnsi="宋体" w:cs="宋体"/>
                <w:kern w:val="0"/>
                <w:sz w:val="24"/>
                <w:szCs w:val="24"/>
                <w:highlight w:val="none"/>
                <w:lang w:val="en-US" w:eastAsia="zh-CN"/>
              </w:rPr>
              <w:t>指标</w:t>
            </w:r>
          </w:p>
        </w:tc>
        <w:tc>
          <w:tcPr>
            <w:tcW w:w="2693" w:type="dxa"/>
            <w:tcBorders>
              <w:tl2br w:val="nil"/>
              <w:tr2bl w:val="nil"/>
            </w:tcBorders>
            <w:shd w:val="clear" w:color="auto" w:fill="FFFFFF"/>
            <w:vAlign w:val="center"/>
          </w:tcPr>
          <w:p>
            <w:pPr>
              <w:widowControl/>
              <w:ind w:firstLine="0" w:firstLineChars="0"/>
              <w:jc w:val="both"/>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推进优质教育均衡发展</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ascii="仿宋_GB2312" w:hAnsi="宋体" w:cs="宋体"/>
                <w:kern w:val="0"/>
                <w:sz w:val="24"/>
                <w:szCs w:val="24"/>
              </w:rPr>
              <w:t>1</w:t>
            </w:r>
            <w:r>
              <w:rPr>
                <w:rFonts w:hint="eastAsia" w:ascii="仿宋_GB2312" w:hAnsi="宋体" w:cs="宋体"/>
                <w:kern w:val="0"/>
                <w:sz w:val="24"/>
                <w:szCs w:val="24"/>
                <w:lang w:val="en-US" w:eastAsia="zh-CN"/>
              </w:rPr>
              <w:t>5</w:t>
            </w:r>
          </w:p>
        </w:tc>
        <w:tc>
          <w:tcPr>
            <w:tcW w:w="898"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15</w:t>
            </w:r>
          </w:p>
        </w:tc>
        <w:tc>
          <w:tcPr>
            <w:tcW w:w="1039"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宋体" w:hAnsi="宋体" w:eastAsia="宋体" w:cs="宋体"/>
                <w:color w:val="000000"/>
                <w:kern w:val="0"/>
                <w:sz w:val="22"/>
              </w:rPr>
              <w:t>满意度指标完成情况分析</w:t>
            </w: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满意度指标</w:t>
            </w: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lang w:val="en-US" w:eastAsia="zh-CN"/>
              </w:rPr>
              <w:t>教师学生家长综合</w:t>
            </w:r>
            <w:r>
              <w:rPr>
                <w:rFonts w:hint="eastAsia" w:ascii="宋体" w:hAnsi="宋体" w:eastAsia="宋体" w:cs="宋体"/>
                <w:color w:val="000000"/>
                <w:kern w:val="0"/>
                <w:sz w:val="22"/>
              </w:rPr>
              <w:t>满意度</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4.25</w:t>
            </w:r>
          </w:p>
        </w:tc>
        <w:tc>
          <w:tcPr>
            <w:tcW w:w="1039"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85%</w:t>
            </w:r>
          </w:p>
        </w:tc>
      </w:tr>
    </w:tbl>
    <w:p>
      <w:pPr>
        <w:pStyle w:val="3"/>
        <w:ind w:firstLine="643"/>
        <w:rPr>
          <w:rFonts w:ascii="仿宋" w:hAnsi="仿宋" w:eastAsia="仿宋"/>
          <w:lang w:bidi="en-US"/>
        </w:rPr>
      </w:pPr>
      <w:bookmarkStart w:id="33" w:name="_Toc67911610"/>
      <w:bookmarkStart w:id="34" w:name="_Toc165277239"/>
      <w:r>
        <w:rPr>
          <w:rFonts w:hint="eastAsia" w:ascii="仿宋" w:hAnsi="仿宋" w:eastAsia="仿宋"/>
          <w:lang w:bidi="en-US"/>
        </w:rPr>
        <w:t>（二）主要绩效</w:t>
      </w:r>
      <w:bookmarkEnd w:id="33"/>
      <w:bookmarkEnd w:id="34"/>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该项目资金市级财政及时拨付，项目于2019年8月开工建设，截至去年底工程进度情况：乌鲁木齐市第一中学河马泉校区建设工程，除艺术馆区域、地下跑道区域及对应的二次装修施工尚未完成外，其他主体土建和二次装修内容均已完工。校区内的水电暖天然气外部管道对接已经完成，电力已在校领导的协调指挥下正常接通使用。生活用水需等待主体完全验收后才能转换用水属性。暖气采用电采暖形式，除未安装软化水装置的区域外，其他区域均可开通（未安装软化水装置的区域为初中教学楼、高中教学楼、宿舍楼的房间内）。</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在2023年度，乌鲁木齐市第一中学河马泉校区共进行了19个设备项目的招投标，这些项目涵盖了智慧校园系统、学生和教师课桌椅、办公家具、各类必需教学设备、体育馆和艺术馆的灯光音响显示设备以及多功能场馆教室设备等，旨在保障教学运行的顺利进行。此外，建管中心还组织了1项供电内网配套设施项目的招投标该项目已完成施工并投入使用。除部分设备项目因艺术馆土建未完工以及冬季部分室外工作无法开展，其余项目在12月基本完工。</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为进一步扩大优质教育资源，满足人民群众对优质教育资源的需求，我校进行了河马泉新校区建设项目，优化教育布局，实现城乡义务教育在更高层次的均衡发展，促进教育公平，提高教育质量；有利于深化财税体制改革，推动实现财政转移支付同农业转移人口市民化挂钩，促进劳动力合理流动，推动经济结构调整和产业转型升级，有利于促进基本公共服务均等化，构建社会主义和谐社会。2024年底河马泉校区投入使用，解决河马泉新区对中等教育的需求。</w:t>
      </w:r>
    </w:p>
    <w:p>
      <w:pPr>
        <w:spacing w:line="520" w:lineRule="exact"/>
        <w:ind w:firstLine="560" w:firstLineChars="200"/>
        <w:rPr>
          <w:rFonts w:hint="eastAsia" w:ascii="仿宋_GB2312" w:cs="黑体"/>
          <w:b w:val="0"/>
          <w:bCs w:val="0"/>
          <w:kern w:val="2"/>
          <w:sz w:val="28"/>
          <w:szCs w:val="22"/>
          <w:lang w:val="en-US" w:eastAsia="zh-CN" w:bidi="ar-SA"/>
        </w:rPr>
      </w:pPr>
    </w:p>
    <w:p>
      <w:pPr>
        <w:spacing w:line="360" w:lineRule="auto"/>
        <w:ind w:firstLine="548" w:firstLineChars="196"/>
        <w:rPr>
          <w:rFonts w:ascii="仿宋_GB2312"/>
          <w:bCs/>
          <w:szCs w:val="28"/>
          <w:highlight w:val="yellow"/>
        </w:rPr>
      </w:pPr>
    </w:p>
    <w:p>
      <w:pPr>
        <w:pStyle w:val="2"/>
        <w:ind w:firstLine="0" w:firstLineChars="0"/>
        <w:jc w:val="left"/>
        <w:rPr>
          <w:rFonts w:ascii="仿宋" w:hAnsi="仿宋" w:eastAsia="仿宋"/>
          <w:sz w:val="36"/>
          <w:szCs w:val="36"/>
          <w:lang w:bidi="en-US"/>
        </w:rPr>
      </w:pPr>
      <w:bookmarkStart w:id="35" w:name="_Toc67911611"/>
      <w:bookmarkStart w:id="36" w:name="_Toc165277240"/>
      <w:r>
        <w:rPr>
          <w:rFonts w:hint="eastAsia" w:ascii="仿宋" w:hAnsi="仿宋" w:eastAsia="仿宋"/>
          <w:sz w:val="36"/>
          <w:szCs w:val="36"/>
          <w:lang w:bidi="en-US"/>
        </w:rPr>
        <w:t>四、绩效评价指标分析</w:t>
      </w:r>
      <w:bookmarkEnd w:id="35"/>
      <w:bookmarkEnd w:id="36"/>
    </w:p>
    <w:p>
      <w:pPr>
        <w:pStyle w:val="3"/>
        <w:ind w:firstLine="643"/>
        <w:rPr>
          <w:rFonts w:ascii="仿宋" w:hAnsi="仿宋" w:eastAsia="仿宋"/>
          <w:lang w:bidi="en-US"/>
        </w:rPr>
      </w:pPr>
      <w:bookmarkStart w:id="37" w:name="_Toc67911612"/>
      <w:bookmarkStart w:id="38" w:name="_Toc165277241"/>
      <w:r>
        <w:rPr>
          <w:rFonts w:hint="eastAsia" w:ascii="仿宋" w:hAnsi="仿宋" w:eastAsia="仿宋"/>
          <w:lang w:bidi="en-US"/>
        </w:rPr>
        <w:t>（一）项目决策情况</w:t>
      </w:r>
      <w:bookmarkEnd w:id="37"/>
      <w:bookmarkEnd w:id="38"/>
    </w:p>
    <w:p>
      <w:pPr>
        <w:spacing w:line="360" w:lineRule="auto"/>
        <w:ind w:firstLine="560"/>
        <w:rPr>
          <w:rFonts w:ascii="仿宋_GB2312"/>
          <w:szCs w:val="28"/>
        </w:rPr>
      </w:pPr>
      <w:r>
        <w:rPr>
          <w:rFonts w:hint="eastAsia" w:ascii="仿宋_GB2312"/>
          <w:szCs w:val="28"/>
        </w:rPr>
        <w:t>项目决算指标由3个二级指标和6个三级指标构成，权重为</w:t>
      </w:r>
      <w:r>
        <w:rPr>
          <w:rFonts w:ascii="仿宋_GB2312"/>
          <w:szCs w:val="28"/>
        </w:rPr>
        <w:t>20</w:t>
      </w:r>
      <w:r>
        <w:rPr>
          <w:rFonts w:hint="eastAsia" w:ascii="仿宋_GB2312"/>
          <w:szCs w:val="28"/>
        </w:rPr>
        <w:t>分，实际得分</w:t>
      </w:r>
      <w:r>
        <w:rPr>
          <w:rFonts w:hint="eastAsia" w:ascii="仿宋_GB2312"/>
          <w:szCs w:val="28"/>
          <w:lang w:val="en-US" w:eastAsia="zh-CN"/>
        </w:rPr>
        <w:t>20</w:t>
      </w:r>
      <w:r>
        <w:rPr>
          <w:rFonts w:hint="eastAsia" w:ascii="仿宋_GB2312"/>
          <w:szCs w:val="28"/>
        </w:rPr>
        <w:t>分。</w:t>
      </w:r>
    </w:p>
    <w:p>
      <w:pPr>
        <w:pStyle w:val="4"/>
        <w:ind w:firstLine="643"/>
      </w:pPr>
      <w:bookmarkStart w:id="39" w:name="_Toc165277242"/>
      <w:r>
        <w:t>1.</w:t>
      </w:r>
      <w:r>
        <w:rPr>
          <w:rFonts w:hint="eastAsia"/>
        </w:rPr>
        <w:t>项目立项</w:t>
      </w:r>
      <w:bookmarkEnd w:id="39"/>
    </w:p>
    <w:p>
      <w:pPr>
        <w:spacing w:line="360" w:lineRule="auto"/>
        <w:ind w:firstLine="562"/>
        <w:rPr>
          <w:rFonts w:hint="eastAsia" w:ascii="仿宋_GB2312" w:cs="黑体"/>
          <w:b w:val="0"/>
          <w:bCs w:val="0"/>
          <w:kern w:val="2"/>
          <w:sz w:val="28"/>
          <w:szCs w:val="22"/>
          <w:lang w:val="en-US" w:eastAsia="zh-CN" w:bidi="ar-SA"/>
        </w:rPr>
      </w:pPr>
      <w:r>
        <w:rPr>
          <w:rFonts w:hint="eastAsia" w:ascii="仿宋_GB2312"/>
          <w:b/>
          <w:bCs/>
          <w:szCs w:val="28"/>
        </w:rPr>
        <w:t>立项依据充分性：</w:t>
      </w:r>
      <w:r>
        <w:rPr>
          <w:rFonts w:hint="eastAsia" w:ascii="仿宋_GB2312"/>
          <w:szCs w:val="28"/>
        </w:rPr>
        <w:t>项</w:t>
      </w:r>
      <w:r>
        <w:rPr>
          <w:rFonts w:hint="eastAsia" w:ascii="仿宋_GB2312" w:cs="黑体"/>
          <w:b w:val="0"/>
          <w:bCs w:val="0"/>
          <w:kern w:val="2"/>
          <w:sz w:val="28"/>
          <w:szCs w:val="22"/>
          <w:lang w:val="en-US" w:eastAsia="zh-CN" w:bidi="ar-SA"/>
        </w:rPr>
        <w:t>目立项符合国家法律法规、政策要求。同时，项目与部门职责范围相符，属于部门履职所需。此外，本项目属于市级公共财政支持范围，符合中央、地方事权支出责任划分原则。因此，立项依据充分，得4分。</w:t>
      </w:r>
    </w:p>
    <w:p>
      <w:pPr>
        <w:spacing w:line="360" w:lineRule="auto"/>
        <w:ind w:firstLine="562"/>
        <w:rPr>
          <w:rFonts w:ascii="仿宋_GB2312"/>
          <w:szCs w:val="28"/>
        </w:rPr>
      </w:pPr>
      <w:r>
        <w:rPr>
          <w:rFonts w:hint="eastAsia" w:ascii="仿宋_GB2312"/>
          <w:b/>
          <w:bCs/>
          <w:szCs w:val="28"/>
        </w:rPr>
        <w:t>立项程序规范性</w:t>
      </w:r>
      <w:r>
        <w:rPr>
          <w:rFonts w:hint="eastAsia" w:ascii="仿宋_GB2312"/>
          <w:b/>
          <w:bCs/>
          <w:szCs w:val="28"/>
          <w:lang w:eastAsia="zh-CN"/>
        </w:rPr>
        <w:t>：</w:t>
      </w:r>
      <w:r>
        <w:rPr>
          <w:rFonts w:hint="eastAsia"/>
        </w:rPr>
        <w:t xml:space="preserve"> </w:t>
      </w:r>
      <w:r>
        <w:rPr>
          <w:rFonts w:hint="eastAsia" w:ascii="仿宋_GB2312"/>
          <w:szCs w:val="28"/>
        </w:rPr>
        <w:t>项目按照规定的程序申请设立，审批文件、材料符合相关要求，故立项程序规范，得4分。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8</w:t>
      </w:r>
      <w:r>
        <w:rPr>
          <w:rFonts w:hint="eastAsia" w:ascii="仿宋_GB2312" w:hAnsi="仿宋" w:cs="宋体"/>
          <w:b/>
          <w:kern w:val="0"/>
          <w:szCs w:val="28"/>
        </w:rPr>
        <w:t>分，得分</w:t>
      </w:r>
      <w:r>
        <w:rPr>
          <w:rFonts w:hint="eastAsia" w:ascii="仿宋_GB2312" w:hAnsi="仿宋" w:cs="宋体"/>
          <w:b/>
          <w:kern w:val="0"/>
          <w:szCs w:val="28"/>
          <w:lang w:val="en-US" w:eastAsia="zh-CN"/>
        </w:rPr>
        <w:t>8</w:t>
      </w:r>
      <w:r>
        <w:rPr>
          <w:rFonts w:hint="eastAsia" w:ascii="仿宋_GB2312" w:hAnsi="仿宋" w:cs="宋体"/>
          <w:b/>
          <w:kern w:val="0"/>
          <w:szCs w:val="28"/>
        </w:rPr>
        <w:t>分。</w:t>
      </w:r>
    </w:p>
    <w:p>
      <w:pPr>
        <w:pStyle w:val="4"/>
        <w:ind w:firstLine="643"/>
      </w:pPr>
      <w:bookmarkStart w:id="40" w:name="_Toc165277243"/>
      <w:r>
        <w:rPr>
          <w:rFonts w:hint="eastAsia"/>
        </w:rPr>
        <w:t>2</w:t>
      </w:r>
      <w:r>
        <w:t>.</w:t>
      </w:r>
      <w:r>
        <w:rPr>
          <w:rFonts w:hint="eastAsia"/>
        </w:rPr>
        <w:t>绩效目标</w:t>
      </w:r>
      <w:bookmarkEnd w:id="40"/>
    </w:p>
    <w:p>
      <w:pPr>
        <w:spacing w:line="520" w:lineRule="exact"/>
        <w:ind w:firstLine="562" w:firstLineChars="200"/>
        <w:rPr>
          <w:rFonts w:hint="eastAsia" w:ascii="仿宋_GB2312" w:cs="黑体"/>
          <w:b w:val="0"/>
          <w:bCs w:val="0"/>
          <w:kern w:val="2"/>
          <w:sz w:val="28"/>
          <w:szCs w:val="22"/>
          <w:lang w:val="en-US" w:eastAsia="zh-CN" w:bidi="ar-SA"/>
        </w:rPr>
      </w:pPr>
      <w:r>
        <w:rPr>
          <w:rFonts w:hint="eastAsia" w:ascii="仿宋_GB2312"/>
          <w:b/>
          <w:bCs/>
          <w:szCs w:val="28"/>
        </w:rPr>
        <w:t>绩效目标合理性：</w:t>
      </w:r>
      <w:r>
        <w:rPr>
          <w:rFonts w:hint="eastAsia" w:ascii="仿宋_GB2312" w:cs="黑体"/>
          <w:b w:val="0"/>
          <w:bCs w:val="0"/>
          <w:kern w:val="2"/>
          <w:sz w:val="28"/>
          <w:szCs w:val="22"/>
          <w:lang w:val="en-US" w:eastAsia="zh-CN" w:bidi="ar-SA"/>
        </w:rPr>
        <w:t>本项目的绩效目标按照产出、效益和满意度构建绩效评价指标，且具有明确性、可衡量性、可实现性、相关性和时限性等特点，能较为全面地反映本项目的产出和效益，故绩效目标合理性指标得分3分。</w:t>
      </w:r>
    </w:p>
    <w:p>
      <w:pPr>
        <w:spacing w:line="520" w:lineRule="exact"/>
        <w:ind w:firstLine="562" w:firstLineChars="200"/>
        <w:rPr>
          <w:rFonts w:hint="eastAsia" w:ascii="仿宋_GB2312" w:cs="黑体"/>
          <w:b w:val="0"/>
          <w:bCs w:val="0"/>
          <w:kern w:val="2"/>
          <w:sz w:val="28"/>
          <w:szCs w:val="22"/>
          <w:lang w:val="en-US" w:eastAsia="zh-CN" w:bidi="ar-SA"/>
        </w:rPr>
      </w:pPr>
      <w:r>
        <w:rPr>
          <w:rFonts w:hint="eastAsia" w:ascii="仿宋_GB2312" w:cs="黑体"/>
          <w:b/>
          <w:bCs/>
          <w:kern w:val="2"/>
          <w:sz w:val="28"/>
          <w:szCs w:val="22"/>
          <w:lang w:val="en-US" w:eastAsia="zh-CN" w:bidi="ar-SA"/>
        </w:rPr>
        <w:t>绩效目标明确性</w:t>
      </w:r>
      <w:r>
        <w:rPr>
          <w:rFonts w:hint="eastAsia" w:ascii="仿宋_GB2312" w:cs="黑体"/>
          <w:b w:val="0"/>
          <w:bCs w:val="0"/>
          <w:kern w:val="2"/>
          <w:sz w:val="28"/>
          <w:szCs w:val="22"/>
          <w:lang w:val="en-US" w:eastAsia="zh-CN" w:bidi="ar-SA"/>
        </w:rPr>
        <w:t>：其中，目标已细化为具体的绩效指标我校进行了河马泉新校区建设项目，优化教育布局，实现城乡义务教育在更高层次的均衡发展，促进教育公平，提高教育质量；项目绩效目标细化分解为具体的绩效指标；清晰、可衡量的指标值予以体现；任务数或计划数相对应，可通过数量指标、质量指标、时效指标和成本指标予以量化和绩效目标框架保持一致，并具有确切的评价标准，且指标设定均与目标相关。各项指标均能在现实条件下向施工单位收集到工作资料原始凭证和说明材料相关数据进行佐证，并与当年项目年度计划相对应，故绩效目标明确性指标得分3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w:t>
      </w:r>
      <w:r>
        <w:rPr>
          <w:rFonts w:hint="eastAsia" w:ascii="仿宋_GB2312" w:hAnsi="仿宋" w:cs="宋体"/>
          <w:b/>
          <w:kern w:val="0"/>
          <w:szCs w:val="28"/>
          <w:lang w:val="en-US" w:eastAsia="zh-CN"/>
        </w:rPr>
        <w:t>6</w:t>
      </w:r>
      <w:r>
        <w:rPr>
          <w:rFonts w:hint="eastAsia" w:ascii="仿宋_GB2312" w:hAnsi="仿宋" w:cs="宋体"/>
          <w:b/>
          <w:kern w:val="0"/>
          <w:szCs w:val="28"/>
        </w:rPr>
        <w:t>分。</w:t>
      </w:r>
    </w:p>
    <w:p>
      <w:pPr>
        <w:pStyle w:val="4"/>
        <w:ind w:firstLine="643"/>
      </w:pPr>
      <w:bookmarkStart w:id="41" w:name="_Toc165277244"/>
      <w:r>
        <w:rPr>
          <w:rFonts w:hint="eastAsia"/>
        </w:rPr>
        <w:t>3.资金投入</w:t>
      </w:r>
      <w:bookmarkEnd w:id="41"/>
    </w:p>
    <w:p>
      <w:pPr>
        <w:spacing w:line="520" w:lineRule="exact"/>
        <w:ind w:firstLine="562" w:firstLineChars="200"/>
        <w:rPr>
          <w:rFonts w:hint="eastAsia" w:ascii="仿宋_GB2312" w:cs="黑体"/>
          <w:b w:val="0"/>
          <w:bCs w:val="0"/>
          <w:kern w:val="2"/>
          <w:sz w:val="28"/>
          <w:szCs w:val="22"/>
          <w:lang w:val="en-US" w:eastAsia="zh-CN" w:bidi="ar-SA"/>
        </w:rPr>
      </w:pPr>
      <w:r>
        <w:rPr>
          <w:rFonts w:hint="eastAsia" w:ascii="仿宋_GB2312" w:cs="黑体"/>
          <w:b/>
          <w:bCs/>
          <w:kern w:val="2"/>
          <w:sz w:val="28"/>
          <w:szCs w:val="22"/>
          <w:lang w:val="en-US" w:eastAsia="zh-CN" w:bidi="ar-SA"/>
        </w:rPr>
        <w:t>预算编制科学性：</w:t>
      </w:r>
      <w:r>
        <w:rPr>
          <w:rFonts w:hint="eastAsia" w:ascii="仿宋_GB2312" w:cs="黑体"/>
          <w:b w:val="0"/>
          <w:bCs w:val="0"/>
          <w:kern w:val="2"/>
          <w:sz w:val="28"/>
          <w:szCs w:val="22"/>
          <w:lang w:val="en-US" w:eastAsia="zh-CN" w:bidi="ar-SA"/>
        </w:rPr>
        <w:t>乌鲁木齐市第一中学水磨沟区河马泉校区建设项目，本项目的成本主要由代建方乌鲁木齐市工程建设管理中心管理，项目的设计由自治区设计院设计，初设的概算由设计院进行出具，建管中心入围的造价咨询公司进行概算核定。河马泉校区基本建设和供电内网配套设施建设资金数据由建管中心核定。资金预算是根据乌鲁木齐市工程建设管理中心提供的工程概算、工程设计和工程进度情况而定，2023年度预算资金2841.4万元，实际支付1716.31万元。故预算编制科学性指标得分1.8分。</w:t>
      </w:r>
    </w:p>
    <w:p>
      <w:pPr>
        <w:spacing w:line="520" w:lineRule="exact"/>
        <w:ind w:firstLine="562" w:firstLineChars="200"/>
        <w:rPr>
          <w:rFonts w:hint="eastAsia" w:ascii="仿宋_GB2312" w:cs="黑体"/>
          <w:b w:val="0"/>
          <w:bCs w:val="0"/>
          <w:kern w:val="2"/>
          <w:sz w:val="28"/>
          <w:szCs w:val="22"/>
          <w:lang w:val="en-US" w:eastAsia="zh-CN" w:bidi="ar-SA"/>
        </w:rPr>
      </w:pPr>
      <w:r>
        <w:rPr>
          <w:rFonts w:hint="eastAsia" w:ascii="仿宋_GB2312" w:cs="黑体"/>
          <w:b/>
          <w:bCs/>
          <w:kern w:val="2"/>
          <w:sz w:val="28"/>
          <w:szCs w:val="22"/>
          <w:lang w:val="en-US" w:eastAsia="zh-CN" w:bidi="ar-SA"/>
        </w:rPr>
        <w:t>资金分配合理性：</w:t>
      </w:r>
      <w:r>
        <w:rPr>
          <w:rFonts w:hint="eastAsia" w:ascii="仿宋_GB2312" w:cs="黑体"/>
          <w:b w:val="0"/>
          <w:bCs w:val="0"/>
          <w:kern w:val="2"/>
          <w:sz w:val="28"/>
          <w:szCs w:val="22"/>
          <w:lang w:val="en-US" w:eastAsia="zh-CN" w:bidi="ar-SA"/>
        </w:rPr>
        <w:t xml:space="preserve"> 经乌财科教〔2023〕2号文件《关于2023年市本级部门预算的批复》批准，资金的拨付和执行有完整的审批程序和手续，符合项目预算批复或合同规定的用途，预算内容分配额度合理，与单位实际相适应。项目资金的使用符合国家财经法规和财务管理制度以及有关专项资金管理办法的规定。根据评价标准及评分分值规定，不扣分。故资金分配合理性指标得分3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w:t>
      </w:r>
      <w:r>
        <w:rPr>
          <w:rFonts w:hint="eastAsia" w:ascii="仿宋_GB2312" w:hAnsi="仿宋" w:cs="宋体"/>
          <w:b/>
          <w:kern w:val="0"/>
          <w:szCs w:val="28"/>
          <w:lang w:val="en-US" w:eastAsia="zh-CN"/>
        </w:rPr>
        <w:t>4.8</w:t>
      </w:r>
      <w:r>
        <w:rPr>
          <w:rFonts w:hint="eastAsia" w:ascii="仿宋_GB2312" w:hAnsi="仿宋" w:cs="宋体"/>
          <w:b/>
          <w:kern w:val="0"/>
          <w:szCs w:val="28"/>
        </w:rPr>
        <w:t>分。</w:t>
      </w:r>
    </w:p>
    <w:p>
      <w:pPr>
        <w:pStyle w:val="3"/>
        <w:ind w:firstLine="643"/>
        <w:rPr>
          <w:rFonts w:ascii="仿宋" w:hAnsi="仿宋" w:eastAsia="仿宋"/>
          <w:lang w:bidi="en-US"/>
        </w:rPr>
      </w:pPr>
      <w:bookmarkStart w:id="42" w:name="_Toc67911613"/>
      <w:bookmarkStart w:id="43" w:name="_Toc165277245"/>
      <w:r>
        <w:rPr>
          <w:rFonts w:hint="eastAsia" w:ascii="仿宋" w:hAnsi="仿宋" w:eastAsia="仿宋"/>
          <w:lang w:bidi="en-US"/>
        </w:rPr>
        <w:t>（二）项目过程情况</w:t>
      </w:r>
      <w:bookmarkEnd w:id="42"/>
      <w:bookmarkEnd w:id="43"/>
    </w:p>
    <w:p>
      <w:pPr>
        <w:spacing w:line="360" w:lineRule="auto"/>
        <w:ind w:firstLine="560"/>
        <w:rPr>
          <w:rFonts w:ascii="仿宋_GB2312"/>
          <w:szCs w:val="28"/>
        </w:rPr>
      </w:pPr>
      <w:r>
        <w:rPr>
          <w:rFonts w:hint="eastAsia" w:ascii="仿宋_GB2312"/>
          <w:szCs w:val="28"/>
        </w:rPr>
        <w:t>项目过程指标由2个二级指标和</w:t>
      </w:r>
      <w:r>
        <w:rPr>
          <w:rFonts w:ascii="仿宋_GB2312"/>
          <w:szCs w:val="28"/>
        </w:rPr>
        <w:t>5</w:t>
      </w:r>
      <w:r>
        <w:rPr>
          <w:rFonts w:hint="eastAsia" w:ascii="仿宋_GB2312"/>
          <w:szCs w:val="28"/>
        </w:rPr>
        <w:t>个三级指标构成，权重为</w:t>
      </w:r>
      <w:r>
        <w:rPr>
          <w:rFonts w:ascii="仿宋_GB2312"/>
          <w:szCs w:val="28"/>
        </w:rPr>
        <w:t>20</w:t>
      </w:r>
      <w:r>
        <w:rPr>
          <w:rFonts w:hint="eastAsia" w:ascii="仿宋_GB2312"/>
          <w:szCs w:val="28"/>
        </w:rPr>
        <w:t>分，实际得分</w:t>
      </w:r>
      <w:r>
        <w:rPr>
          <w:rFonts w:hint="eastAsia" w:ascii="仿宋_GB2312"/>
          <w:szCs w:val="28"/>
          <w:lang w:val="en-US" w:eastAsia="zh-CN"/>
        </w:rPr>
        <w:t>19</w:t>
      </w:r>
      <w:r>
        <w:rPr>
          <w:rFonts w:hint="eastAsia" w:ascii="仿宋_GB2312"/>
          <w:szCs w:val="28"/>
        </w:rPr>
        <w:t>分。</w:t>
      </w:r>
    </w:p>
    <w:p>
      <w:pPr>
        <w:pStyle w:val="4"/>
        <w:ind w:firstLine="643"/>
      </w:pPr>
      <w:bookmarkStart w:id="44" w:name="_Toc165277246"/>
      <w:r>
        <w:t>1.</w:t>
      </w:r>
      <w:r>
        <w:rPr>
          <w:rFonts w:hint="eastAsia"/>
        </w:rPr>
        <w:t>资金管理</w:t>
      </w:r>
      <w:bookmarkEnd w:id="44"/>
    </w:p>
    <w:p>
      <w:pPr>
        <w:spacing w:line="520" w:lineRule="exact"/>
        <w:ind w:firstLine="562" w:firstLineChars="200"/>
        <w:rPr>
          <w:rFonts w:hint="eastAsia" w:ascii="仿宋_GB2312" w:cs="黑体"/>
          <w:b w:val="0"/>
          <w:bCs w:val="0"/>
          <w:kern w:val="2"/>
          <w:sz w:val="28"/>
          <w:szCs w:val="22"/>
          <w:lang w:val="en-US" w:eastAsia="zh-CN" w:bidi="ar-SA"/>
        </w:rPr>
      </w:pPr>
      <w:r>
        <w:rPr>
          <w:rFonts w:hint="eastAsia" w:ascii="仿宋_GB2312" w:cs="黑体"/>
          <w:b/>
          <w:bCs/>
          <w:kern w:val="2"/>
          <w:sz w:val="28"/>
          <w:szCs w:val="22"/>
          <w:lang w:val="en-US" w:eastAsia="zh-CN" w:bidi="ar-SA"/>
        </w:rPr>
        <w:t>资金到位率：</w:t>
      </w:r>
      <w:r>
        <w:rPr>
          <w:rFonts w:hint="eastAsia" w:ascii="仿宋_GB2312" w:cs="黑体"/>
          <w:b w:val="0"/>
          <w:bCs w:val="0"/>
          <w:kern w:val="2"/>
          <w:sz w:val="28"/>
          <w:szCs w:val="22"/>
          <w:lang w:val="en-US" w:eastAsia="zh-CN" w:bidi="ar-SA"/>
        </w:rPr>
        <w:t>“乌鲁木齐第一中学水磨沟区河马泉校区建设项目”项目资金为财政拨款。2023年4月14日，财政拨款到位127.495万元，到位资金直接支付到各供应商；2023年8月23日，财政拨款到位196.306万元，到位资金直接支付到各供应商；2023年10月7日，财政拨款到位1.008万元，到位资金直接支付到各供应商；2023年10月18日，财政拨款到位86.45万元，到位资金直接支付到各供应商；2023年11月17日，财政拨款到位501万元，到位资金直接支付到各供应商；2023年12月21日，财政拨款到位266.301万元，到位资金直接支付到各供应商。“乌鲁木齐第一中学经济技术开发区校区建设项目”项目资金为财政拨款，2023年12月22日，财政拨款到位537.75万元，到位资金直接支付到各供应商。资金到位率100%，到位资金直接支付到各供应商，故资金到位率指标得分4分。</w:t>
      </w:r>
    </w:p>
    <w:p>
      <w:pPr>
        <w:spacing w:line="520" w:lineRule="exact"/>
        <w:ind w:firstLine="562" w:firstLineChars="200"/>
        <w:rPr>
          <w:rFonts w:hint="eastAsia" w:ascii="仿宋_GB2312" w:cs="黑体"/>
          <w:b w:val="0"/>
          <w:bCs w:val="0"/>
          <w:kern w:val="2"/>
          <w:sz w:val="28"/>
          <w:szCs w:val="22"/>
          <w:lang w:val="en-US" w:eastAsia="zh-CN" w:bidi="ar-SA"/>
        </w:rPr>
      </w:pPr>
      <w:r>
        <w:rPr>
          <w:rFonts w:hint="eastAsia" w:ascii="仿宋_GB2312" w:cs="黑体"/>
          <w:b/>
          <w:bCs/>
          <w:kern w:val="2"/>
          <w:sz w:val="28"/>
          <w:szCs w:val="22"/>
          <w:lang w:val="en-US" w:eastAsia="zh-CN" w:bidi="ar-SA"/>
        </w:rPr>
        <w:t>预算执行率：</w:t>
      </w:r>
      <w:r>
        <w:rPr>
          <w:rFonts w:hint="eastAsia" w:ascii="仿宋_GB2312" w:cs="黑体"/>
          <w:b w:val="0"/>
          <w:bCs w:val="0"/>
          <w:kern w:val="2"/>
          <w:sz w:val="28"/>
          <w:szCs w:val="22"/>
          <w:lang w:val="en-US" w:eastAsia="zh-CN" w:bidi="ar-SA"/>
        </w:rPr>
        <w:t>“乌鲁木齐第一中学水磨沟区河马泉校区建设项目”项目2023年4月14日，财政拨款到位127.495万元，到位资金直接支付到各供应商；2023年8月23日，财政拨款到位196.306万元，到位资金直接支付到各供应商；2023年10月7日，财政拨款到位1.008万元，到位资金直接支付到各供应商；2023年10月18日，财政拨款到位86.45万元，到位资金直接支付到各供应商；2023年11月17日，财政拨款到位501万元，到位资金直接支付到各供应商；2023年12月21日，财政拨款到位266.301万元，到位资金直接支付到各供应商。“乌鲁木齐第一中学经济技术开发区校区建设项目”项目2023年12月22日，财政拨款到位537.75万元，到位资金直接支付到各供应商。预算执行率得分为5分。</w:t>
      </w:r>
    </w:p>
    <w:p>
      <w:pPr>
        <w:spacing w:line="520" w:lineRule="exact"/>
        <w:ind w:firstLine="562" w:firstLineChars="200"/>
        <w:rPr>
          <w:rFonts w:hint="eastAsia" w:ascii="方正仿宋_GBK" w:hAnsi="方正仿宋_GBK" w:eastAsia="方正仿宋_GBK" w:cs="方正仿宋_GBK"/>
          <w:sz w:val="28"/>
          <w:szCs w:val="28"/>
        </w:rPr>
      </w:pPr>
      <w:r>
        <w:rPr>
          <w:rFonts w:hint="eastAsia" w:ascii="仿宋_GB2312" w:cs="黑体"/>
          <w:b/>
          <w:bCs/>
          <w:kern w:val="2"/>
          <w:sz w:val="28"/>
          <w:szCs w:val="22"/>
          <w:lang w:val="en-US" w:eastAsia="zh-CN" w:bidi="ar-SA"/>
        </w:rPr>
        <w:t>资金使用合规性：</w:t>
      </w:r>
      <w:r>
        <w:rPr>
          <w:rFonts w:hint="eastAsia" w:ascii="仿宋_GB2312" w:cs="黑体"/>
          <w:b w:val="0"/>
          <w:bCs w:val="0"/>
          <w:kern w:val="2"/>
          <w:sz w:val="28"/>
          <w:szCs w:val="22"/>
          <w:lang w:val="en-US" w:eastAsia="zh-CN" w:bidi="ar-SA"/>
        </w:rPr>
        <w:t>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w:t>
      </w:r>
      <w:r>
        <w:rPr>
          <w:rFonts w:hint="eastAsia" w:ascii="方正仿宋_GBK" w:hAnsi="方正仿宋_GBK" w:eastAsia="方正仿宋_GBK" w:cs="方正仿宋_GBK"/>
          <w:b w:val="0"/>
          <w:bCs w:val="0"/>
          <w:kern w:val="2"/>
          <w:sz w:val="28"/>
          <w:szCs w:val="22"/>
          <w:u w:val="none"/>
          <w:shd w:val="clear"/>
          <w:lang w:val="en-US" w:eastAsia="zh-CN" w:bidi="ar-SA"/>
        </w:rPr>
        <w:t>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hint="eastAsia" w:ascii="仿宋_GB2312" w:hAnsi="仿宋" w:cs="宋体"/>
          <w:b/>
          <w:kern w:val="0"/>
          <w:szCs w:val="28"/>
          <w:lang w:val="en-US" w:eastAsia="zh-CN"/>
        </w:rPr>
        <w:t>12</w:t>
      </w:r>
      <w:r>
        <w:rPr>
          <w:rFonts w:hint="eastAsia" w:ascii="仿宋_GB2312" w:hAnsi="仿宋" w:cs="宋体"/>
          <w:b/>
          <w:kern w:val="0"/>
          <w:szCs w:val="28"/>
        </w:rPr>
        <w:t>分，得分</w:t>
      </w:r>
      <w:r>
        <w:rPr>
          <w:rFonts w:hint="eastAsia" w:ascii="仿宋_GB2312" w:hAnsi="仿宋" w:cs="宋体"/>
          <w:b/>
          <w:kern w:val="0"/>
          <w:szCs w:val="28"/>
          <w:lang w:val="en-US" w:eastAsia="zh-CN"/>
        </w:rPr>
        <w:t>12</w:t>
      </w:r>
      <w:r>
        <w:rPr>
          <w:rFonts w:hint="eastAsia" w:ascii="仿宋_GB2312" w:hAnsi="仿宋" w:cs="宋体"/>
          <w:b/>
          <w:kern w:val="0"/>
          <w:szCs w:val="28"/>
        </w:rPr>
        <w:t>分。</w:t>
      </w:r>
    </w:p>
    <w:p>
      <w:pPr>
        <w:pStyle w:val="4"/>
        <w:ind w:firstLine="643"/>
      </w:pPr>
      <w:bookmarkStart w:id="45" w:name="_Toc165277247"/>
      <w:r>
        <w:t>2.</w:t>
      </w:r>
      <w:r>
        <w:rPr>
          <w:rFonts w:hint="eastAsia"/>
        </w:rPr>
        <w:t>组织实施</w:t>
      </w:r>
      <w:bookmarkEnd w:id="45"/>
    </w:p>
    <w:p>
      <w:pPr>
        <w:spacing w:line="520" w:lineRule="exact"/>
        <w:ind w:firstLine="562" w:firstLineChars="200"/>
        <w:rPr>
          <w:rFonts w:hint="eastAsia" w:ascii="仿宋_GB2312" w:cs="黑体"/>
          <w:b w:val="0"/>
          <w:bCs w:val="0"/>
          <w:kern w:val="2"/>
          <w:sz w:val="28"/>
          <w:szCs w:val="22"/>
          <w:lang w:val="en-US" w:eastAsia="zh-CN" w:bidi="ar-SA"/>
        </w:rPr>
      </w:pPr>
      <w:r>
        <w:rPr>
          <w:rFonts w:hint="eastAsia" w:ascii="仿宋_GB2312" w:cs="黑体"/>
          <w:b/>
          <w:bCs/>
          <w:kern w:val="2"/>
          <w:sz w:val="28"/>
          <w:szCs w:val="22"/>
          <w:lang w:val="en-US" w:eastAsia="zh-CN" w:bidi="ar-SA"/>
        </w:rPr>
        <w:t>管理制度健全性：</w:t>
      </w:r>
      <w:r>
        <w:rPr>
          <w:rFonts w:hint="eastAsia" w:ascii="仿宋_GB2312" w:cs="黑体"/>
          <w:b w:val="0"/>
          <w:bCs w:val="0"/>
          <w:kern w:val="2"/>
          <w:sz w:val="28"/>
          <w:szCs w:val="22"/>
          <w:lang w:val="en-US" w:eastAsia="zh-CN" w:bidi="ar-SA"/>
        </w:rPr>
        <w:t>为贯彻落实好市委决定，学校研究成立了乌鲁木齐市第一中学河马泉校区建设工作组。 组长： 高喜梅（党委书记） 负责领导、指挥、协调校区全面建设工作。 副组长： 罗群雁（党委副书记、校长） 负责全面指导校区建设各项工作。 执行组长：韩宜飞，负责河马泉校区建设的计划制定，安排、检查、协调、落实等各项工作的具体执行。 纪检组组长：甘亚强（纪检委员、副校长）负责新校区建设中各项工作的全面监督。 工作人员： 朱子旭，负责新校区建设的设计规划，施工建设、设施设备配置。 王军：负责新校区建设后勤保障，参与建设施工、设施设备配置。 刘万俊：负责对外联系，各种建设手续办理，参与建设规划，建设施工管理、智慧校园信息化建设、新校区建设信息发布。 袁智华：负责新校区建设过程中的各项材料收集、建立完整档案（基建档案、设备购置档案），确保建设资料有序、完整。 李立：负责新校区建设的所有财务工作。</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乌鲁木齐市第一中学水磨沟区河马泉校区建设项目制定相应的财务和业务管理制度，且制度合法、合规、完整，为项目顺利实施提供重要保障。故管理制度健全性得分为3分。</w:t>
      </w:r>
    </w:p>
    <w:p>
      <w:pPr>
        <w:spacing w:line="520" w:lineRule="exact"/>
        <w:ind w:firstLine="562" w:firstLineChars="200"/>
        <w:rPr>
          <w:rFonts w:hint="eastAsia" w:ascii="仿宋_GB2312" w:cs="黑体"/>
          <w:b/>
          <w:bCs/>
          <w:kern w:val="2"/>
          <w:sz w:val="28"/>
          <w:szCs w:val="22"/>
          <w:lang w:val="en-US" w:eastAsia="zh-CN" w:bidi="ar-SA"/>
        </w:rPr>
      </w:pPr>
    </w:p>
    <w:p>
      <w:pPr>
        <w:spacing w:line="520" w:lineRule="exact"/>
        <w:ind w:firstLine="562" w:firstLineChars="200"/>
        <w:rPr>
          <w:rFonts w:hint="eastAsia" w:ascii="仿宋_GB2312" w:cs="黑体"/>
          <w:b w:val="0"/>
          <w:bCs w:val="0"/>
          <w:kern w:val="2"/>
          <w:sz w:val="28"/>
          <w:szCs w:val="22"/>
          <w:lang w:val="en-US" w:eastAsia="zh-CN" w:bidi="ar-SA"/>
        </w:rPr>
      </w:pPr>
      <w:r>
        <w:rPr>
          <w:rFonts w:hint="eastAsia" w:ascii="仿宋_GB2312" w:cs="黑体"/>
          <w:b/>
          <w:bCs/>
          <w:kern w:val="2"/>
          <w:sz w:val="28"/>
          <w:szCs w:val="22"/>
          <w:lang w:val="en-US" w:eastAsia="zh-CN" w:bidi="ar-SA"/>
        </w:rPr>
        <w:t>制度执行有效性：</w:t>
      </w:r>
      <w:r>
        <w:rPr>
          <w:rFonts w:hint="eastAsia" w:ascii="仿宋_GB2312" w:cs="黑体"/>
          <w:b w:val="0"/>
          <w:bCs w:val="0"/>
          <w:kern w:val="2"/>
          <w:sz w:val="28"/>
          <w:szCs w:val="22"/>
          <w:lang w:val="en-US" w:eastAsia="zh-CN" w:bidi="ar-SA"/>
        </w:rPr>
        <w:t>根据评价小组核查情况，通过现场调研和资料抽查严格遵守相关法律法规和相关管理规定，项目调整及支出调整手续完备，整体管理合理有序，项目完成后，及时将会计凭证、固定资产入库单等相关资料分类归档，制度执行有效。故制度执行有效性指标得分4分。</w:t>
      </w:r>
    </w:p>
    <w:p>
      <w:pPr>
        <w:autoSpaceDE w:val="0"/>
        <w:spacing w:line="600" w:lineRule="exact"/>
        <w:ind w:firstLine="562"/>
        <w:rPr>
          <w:rFonts w:ascii="仿宋_GB2312" w:hAnsi="仿宋" w:cs="宋体"/>
          <w:b/>
          <w:kern w:val="0"/>
          <w:szCs w:val="28"/>
        </w:rPr>
      </w:pPr>
      <w:bookmarkStart w:id="46" w:name="_Hlk67670213"/>
      <w:r>
        <w:rPr>
          <w:rFonts w:hint="eastAsia" w:ascii="仿宋_GB2312" w:hAnsi="仿宋" w:cs="宋体"/>
          <w:b/>
          <w:kern w:val="0"/>
          <w:szCs w:val="28"/>
        </w:rPr>
        <w:t>综上，该指标满分</w:t>
      </w:r>
      <w:r>
        <w:rPr>
          <w:rFonts w:ascii="仿宋_GB2312" w:hAnsi="仿宋" w:cs="宋体"/>
          <w:b/>
          <w:kern w:val="0"/>
          <w:szCs w:val="28"/>
        </w:rPr>
        <w:t>7</w:t>
      </w:r>
      <w:r>
        <w:rPr>
          <w:rFonts w:hint="eastAsia" w:ascii="仿宋_GB2312" w:hAnsi="仿宋" w:cs="宋体"/>
          <w:b/>
          <w:kern w:val="0"/>
          <w:szCs w:val="28"/>
        </w:rPr>
        <w:t>分，得分</w:t>
      </w:r>
      <w:r>
        <w:rPr>
          <w:rFonts w:ascii="仿宋_GB2312" w:hAnsi="仿宋" w:cs="宋体"/>
          <w:b/>
          <w:kern w:val="0"/>
          <w:szCs w:val="28"/>
        </w:rPr>
        <w:t>7</w:t>
      </w:r>
      <w:r>
        <w:rPr>
          <w:rFonts w:hint="eastAsia" w:ascii="仿宋_GB2312" w:hAnsi="仿宋" w:cs="宋体"/>
          <w:b/>
          <w:kern w:val="0"/>
          <w:szCs w:val="28"/>
        </w:rPr>
        <w:t>分。</w:t>
      </w:r>
    </w:p>
    <w:bookmarkEnd w:id="46"/>
    <w:p>
      <w:pPr>
        <w:pStyle w:val="3"/>
        <w:ind w:firstLine="643"/>
        <w:rPr>
          <w:rFonts w:ascii="仿宋" w:hAnsi="仿宋" w:eastAsia="仿宋"/>
          <w:lang w:bidi="en-US"/>
        </w:rPr>
      </w:pPr>
      <w:bookmarkStart w:id="47" w:name="_Toc67911614"/>
      <w:bookmarkStart w:id="48" w:name="_Toc165277248"/>
      <w:r>
        <w:rPr>
          <w:rFonts w:hint="eastAsia" w:ascii="仿宋" w:hAnsi="仿宋" w:eastAsia="仿宋"/>
          <w:lang w:bidi="en-US"/>
        </w:rPr>
        <w:t>（三）项目产出情况</w:t>
      </w:r>
      <w:bookmarkEnd w:id="47"/>
      <w:bookmarkEnd w:id="48"/>
    </w:p>
    <w:p>
      <w:pPr>
        <w:spacing w:line="360" w:lineRule="auto"/>
        <w:ind w:firstLine="560"/>
        <w:rPr>
          <w:rFonts w:ascii="仿宋_GB2312"/>
          <w:szCs w:val="28"/>
        </w:rPr>
      </w:pPr>
      <w:r>
        <w:rPr>
          <w:rFonts w:hint="eastAsia" w:ascii="仿宋_GB2312"/>
          <w:szCs w:val="28"/>
        </w:rPr>
        <w:t>项目产出指标由</w:t>
      </w:r>
      <w:r>
        <w:rPr>
          <w:rFonts w:ascii="仿宋_GB2312"/>
          <w:szCs w:val="28"/>
        </w:rPr>
        <w:t>4</w:t>
      </w:r>
      <w:r>
        <w:rPr>
          <w:rFonts w:hint="eastAsia" w:ascii="仿宋_GB2312"/>
          <w:szCs w:val="28"/>
        </w:rPr>
        <w:t>个二级指标和</w:t>
      </w:r>
      <w:r>
        <w:rPr>
          <w:rFonts w:hint="eastAsia" w:ascii="仿宋_GB2312"/>
          <w:szCs w:val="28"/>
          <w:lang w:val="en-US" w:eastAsia="zh-CN"/>
        </w:rPr>
        <w:t>7</w:t>
      </w:r>
      <w:r>
        <w:rPr>
          <w:rFonts w:hint="eastAsia" w:ascii="仿宋_GB2312"/>
          <w:szCs w:val="28"/>
        </w:rPr>
        <w:t>个三级指标构成，权重为</w:t>
      </w:r>
      <w:r>
        <w:rPr>
          <w:rFonts w:ascii="仿宋_GB2312"/>
          <w:szCs w:val="28"/>
        </w:rPr>
        <w:t>40</w:t>
      </w:r>
      <w:r>
        <w:rPr>
          <w:rFonts w:hint="eastAsia" w:ascii="仿宋_GB2312"/>
          <w:szCs w:val="28"/>
        </w:rPr>
        <w:t>分，实际得分</w:t>
      </w:r>
      <w:r>
        <w:rPr>
          <w:rFonts w:hint="eastAsia" w:ascii="仿宋_GB2312"/>
          <w:szCs w:val="28"/>
          <w:lang w:val="en-US" w:eastAsia="zh-CN"/>
        </w:rPr>
        <w:t>40</w:t>
      </w:r>
      <w:r>
        <w:rPr>
          <w:rFonts w:hint="eastAsia" w:ascii="仿宋_GB2312"/>
          <w:szCs w:val="28"/>
        </w:rPr>
        <w:t>分。</w:t>
      </w:r>
    </w:p>
    <w:p>
      <w:pPr>
        <w:pStyle w:val="4"/>
        <w:ind w:firstLine="643"/>
      </w:pPr>
      <w:bookmarkStart w:id="49" w:name="_Toc165277249"/>
      <w:r>
        <w:rPr>
          <w:rFonts w:hint="eastAsia"/>
        </w:rPr>
        <w:t>1</w:t>
      </w:r>
      <w:r>
        <w:t>.</w:t>
      </w:r>
      <w:r>
        <w:rPr>
          <w:rFonts w:hint="eastAsia"/>
        </w:rPr>
        <w:t>产出数量</w:t>
      </w:r>
      <w:bookmarkEnd w:id="49"/>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数量指标“主体楼宇与配套建设数量”的目标值是≧3个，2023年度我单位实际完成3个。</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数量指标“购置设备场馆类别”的目标值是≧2类，2023年度我单位完成体育馆和艺术馆的设备2个场馆。</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实际完成率：50%艺术馆部分工序及二装还未完成故而设备安装滞后，故实际完成率得分为5分。</w:t>
      </w:r>
    </w:p>
    <w:p>
      <w:pPr>
        <w:pStyle w:val="4"/>
        <w:ind w:firstLine="643"/>
      </w:pPr>
      <w:bookmarkStart w:id="50" w:name="_Toc165277250"/>
      <w:r>
        <w:rPr>
          <w:rFonts w:hint="eastAsia"/>
        </w:rPr>
        <w:t>2</w:t>
      </w:r>
      <w:r>
        <w:t>.</w:t>
      </w:r>
      <w:r>
        <w:rPr>
          <w:rFonts w:hint="eastAsia"/>
        </w:rPr>
        <w:t>产出质量</w:t>
      </w:r>
      <w:bookmarkEnd w:id="50"/>
    </w:p>
    <w:p>
      <w:pPr>
        <w:spacing w:line="360" w:lineRule="auto"/>
        <w:ind w:firstLine="562"/>
        <w:rPr>
          <w:rFonts w:ascii="仿宋_GB2312"/>
          <w:szCs w:val="28"/>
        </w:rPr>
      </w:pPr>
      <w:r>
        <w:rPr>
          <w:rFonts w:hint="eastAsia" w:ascii="仿宋_GB2312"/>
          <w:b/>
          <w:bCs/>
          <w:szCs w:val="28"/>
          <w:lang w:val="en-US" w:eastAsia="zh-CN"/>
        </w:rPr>
        <w:t>设备购置所占比例100%，</w:t>
      </w:r>
      <w:r>
        <w:rPr>
          <w:rFonts w:hint="eastAsia" w:ascii="仿宋_GB2312"/>
          <w:b/>
          <w:bCs/>
          <w:szCs w:val="28"/>
        </w:rPr>
        <w:t>工程验收：</w:t>
      </w:r>
      <w:r>
        <w:rPr>
          <w:rFonts w:hint="eastAsia" w:ascii="仿宋_GB2312"/>
          <w:b/>
          <w:bCs/>
          <w:szCs w:val="28"/>
          <w:lang w:val="en-US" w:eastAsia="zh-CN"/>
        </w:rPr>
        <w:t>合格率100%</w:t>
      </w:r>
      <w:r>
        <w:rPr>
          <w:rFonts w:hint="eastAsia" w:ascii="仿宋_GB2312"/>
          <w:szCs w:val="28"/>
        </w:rPr>
        <w:t>质量达标率得分为</w:t>
      </w:r>
      <w:r>
        <w:rPr>
          <w:rFonts w:hint="eastAsia" w:ascii="仿宋_GB2312"/>
          <w:szCs w:val="28"/>
          <w:lang w:val="en-US" w:eastAsia="zh-CN"/>
        </w:rPr>
        <w:t>15</w:t>
      </w:r>
      <w:r>
        <w:rPr>
          <w:rFonts w:hint="eastAsia" w:ascii="仿宋_GB2312"/>
          <w:szCs w:val="28"/>
        </w:rPr>
        <w:t>分。</w:t>
      </w:r>
    </w:p>
    <w:p>
      <w:pPr>
        <w:pStyle w:val="4"/>
        <w:ind w:firstLine="643"/>
      </w:pPr>
      <w:bookmarkStart w:id="51" w:name="_Toc165277251"/>
      <w:r>
        <w:rPr>
          <w:rFonts w:hint="eastAsia"/>
        </w:rPr>
        <w:t>3</w:t>
      </w:r>
      <w:r>
        <w:t>.</w:t>
      </w:r>
      <w:r>
        <w:rPr>
          <w:rFonts w:hint="eastAsia"/>
        </w:rPr>
        <w:t>产出时效</w:t>
      </w:r>
      <w:bookmarkEnd w:id="51"/>
    </w:p>
    <w:p>
      <w:pPr>
        <w:spacing w:line="360" w:lineRule="auto"/>
        <w:ind w:firstLine="562"/>
        <w:rPr>
          <w:rFonts w:hint="default" w:ascii="仿宋_GB2312" w:eastAsia="仿宋_GB2312"/>
          <w:b/>
          <w:bCs/>
          <w:szCs w:val="28"/>
          <w:lang w:val="en-US" w:eastAsia="zh-CN"/>
        </w:rPr>
      </w:pPr>
      <w:r>
        <w:rPr>
          <w:rFonts w:hint="eastAsia" w:ascii="仿宋_GB2312"/>
          <w:b/>
          <w:bCs/>
          <w:szCs w:val="28"/>
          <w:lang w:val="en-US" w:eastAsia="zh-CN"/>
        </w:rPr>
        <w:t>资金支付</w:t>
      </w:r>
      <w:r>
        <w:rPr>
          <w:rFonts w:hint="eastAsia" w:ascii="仿宋_GB2312"/>
          <w:b/>
          <w:bCs/>
          <w:szCs w:val="28"/>
        </w:rPr>
        <w:t>及时性：</w:t>
      </w:r>
      <w:r>
        <w:rPr>
          <w:rFonts w:hint="eastAsia" w:ascii="仿宋_GB2312"/>
          <w:b/>
          <w:bCs/>
          <w:szCs w:val="28"/>
          <w:lang w:val="en-US" w:eastAsia="zh-CN"/>
        </w:rPr>
        <w:t>100%</w:t>
      </w:r>
    </w:p>
    <w:p>
      <w:pPr>
        <w:spacing w:line="360" w:lineRule="auto"/>
        <w:ind w:firstLine="560"/>
        <w:rPr>
          <w:rFonts w:ascii="仿宋_GB2312"/>
          <w:szCs w:val="28"/>
        </w:rPr>
      </w:pPr>
      <w:r>
        <w:rPr>
          <w:rFonts w:hint="eastAsia" w:ascii="仿宋_GB2312"/>
          <w:szCs w:val="28"/>
        </w:rPr>
        <w:t>故完成及时性得分为</w:t>
      </w:r>
      <w:r>
        <w:rPr>
          <w:rFonts w:hint="eastAsia" w:ascii="仿宋_GB2312"/>
          <w:szCs w:val="28"/>
          <w:lang w:val="en-US" w:eastAsia="zh-CN"/>
        </w:rPr>
        <w:t>10</w:t>
      </w:r>
      <w:r>
        <w:rPr>
          <w:rFonts w:hint="eastAsia" w:ascii="仿宋_GB2312"/>
          <w:szCs w:val="28"/>
        </w:rPr>
        <w:t>分。</w:t>
      </w:r>
    </w:p>
    <w:p>
      <w:pPr>
        <w:pStyle w:val="4"/>
        <w:ind w:firstLine="643"/>
      </w:pPr>
      <w:bookmarkStart w:id="52" w:name="_Toc165277252"/>
      <w:r>
        <w:rPr>
          <w:rFonts w:hint="eastAsia"/>
        </w:rPr>
        <w:t>4</w:t>
      </w:r>
      <w:r>
        <w:t>.</w:t>
      </w:r>
      <w:r>
        <w:rPr>
          <w:rFonts w:hint="eastAsia"/>
        </w:rPr>
        <w:t>产出成本</w:t>
      </w:r>
      <w:bookmarkEnd w:id="52"/>
    </w:p>
    <w:p>
      <w:pPr>
        <w:spacing w:line="520" w:lineRule="exact"/>
        <w:ind w:firstLine="562" w:firstLineChars="200"/>
        <w:rPr>
          <w:rFonts w:hint="eastAsia" w:ascii="仿宋_GB2312" w:cs="黑体"/>
          <w:b w:val="0"/>
          <w:bCs w:val="0"/>
          <w:kern w:val="2"/>
          <w:sz w:val="28"/>
          <w:szCs w:val="22"/>
          <w:lang w:val="en-US" w:eastAsia="zh-CN" w:bidi="ar-SA"/>
        </w:rPr>
      </w:pPr>
      <w:r>
        <w:rPr>
          <w:rFonts w:hint="eastAsia" w:ascii="仿宋_GB2312" w:cs="黑体"/>
          <w:b/>
          <w:bCs/>
          <w:kern w:val="2"/>
          <w:sz w:val="28"/>
          <w:szCs w:val="22"/>
          <w:lang w:val="en-US" w:eastAsia="zh-CN" w:bidi="ar-SA"/>
        </w:rPr>
        <w:t>基建资金支出数额：</w:t>
      </w:r>
      <w:r>
        <w:rPr>
          <w:rFonts w:hint="eastAsia" w:ascii="仿宋_GB2312" w:cs="黑体"/>
          <w:b w:val="0"/>
          <w:bCs w:val="0"/>
          <w:kern w:val="2"/>
          <w:sz w:val="28"/>
          <w:szCs w:val="22"/>
          <w:lang w:val="en-US" w:eastAsia="zh-CN" w:bidi="ar-SA"/>
        </w:rPr>
        <w:t>本项目实际支出   万元，艺术馆设备资金2994538元，体育馆设备资金5882162元均无超支情况，项目资金全部完成，得分为10分。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综上，该部分指标满分</w:t>
      </w:r>
      <w:r>
        <w:rPr>
          <w:rFonts w:ascii="仿宋_GB2312" w:hAnsi="仿宋" w:cs="宋体"/>
          <w:b/>
          <w:kern w:val="0"/>
          <w:szCs w:val="28"/>
        </w:rPr>
        <w:t>4</w:t>
      </w:r>
      <w:r>
        <w:rPr>
          <w:rFonts w:hint="eastAsia" w:ascii="仿宋_GB2312" w:hAnsi="仿宋" w:cs="宋体"/>
          <w:b/>
          <w:kern w:val="0"/>
          <w:szCs w:val="28"/>
          <w:lang w:val="en-US" w:eastAsia="zh-CN"/>
        </w:rPr>
        <w:t>5</w:t>
      </w:r>
      <w:r>
        <w:rPr>
          <w:rFonts w:hint="eastAsia" w:ascii="仿宋_GB2312" w:hAnsi="仿宋" w:cs="宋体"/>
          <w:b/>
          <w:kern w:val="0"/>
          <w:szCs w:val="28"/>
        </w:rPr>
        <w:t>分，得分</w:t>
      </w:r>
      <w:r>
        <w:rPr>
          <w:rFonts w:hint="eastAsia" w:ascii="仿宋_GB2312" w:hAnsi="仿宋" w:cs="宋体"/>
          <w:b/>
          <w:kern w:val="0"/>
          <w:szCs w:val="28"/>
          <w:lang w:val="en-US" w:eastAsia="zh-CN"/>
        </w:rPr>
        <w:t>40</w:t>
      </w:r>
      <w:r>
        <w:rPr>
          <w:rFonts w:hint="eastAsia" w:ascii="仿宋_GB2312" w:hAnsi="仿宋" w:cs="宋体"/>
          <w:b/>
          <w:kern w:val="0"/>
          <w:szCs w:val="28"/>
        </w:rPr>
        <w:t>分。</w:t>
      </w:r>
    </w:p>
    <w:p>
      <w:pPr>
        <w:pStyle w:val="3"/>
        <w:ind w:firstLine="643"/>
        <w:rPr>
          <w:rFonts w:ascii="仿宋" w:hAnsi="仿宋" w:eastAsia="仿宋"/>
          <w:lang w:bidi="en-US"/>
        </w:rPr>
      </w:pPr>
      <w:bookmarkStart w:id="53" w:name="_Toc67911615"/>
      <w:bookmarkStart w:id="54" w:name="_Toc165277253"/>
      <w:r>
        <w:rPr>
          <w:rFonts w:hint="eastAsia" w:ascii="仿宋" w:hAnsi="仿宋" w:eastAsia="仿宋"/>
          <w:lang w:bidi="en-US"/>
        </w:rPr>
        <w:t>（四）项目效益情况</w:t>
      </w:r>
      <w:bookmarkEnd w:id="53"/>
      <w:bookmarkEnd w:id="54"/>
    </w:p>
    <w:p>
      <w:pPr>
        <w:spacing w:line="360" w:lineRule="auto"/>
        <w:ind w:firstLine="560"/>
        <w:rPr>
          <w:rFonts w:ascii="仿宋_GB2312"/>
          <w:szCs w:val="28"/>
        </w:rPr>
      </w:pPr>
      <w:r>
        <w:rPr>
          <w:rFonts w:hint="eastAsia" w:ascii="仿宋_GB2312"/>
          <w:szCs w:val="28"/>
        </w:rPr>
        <w:t>项目效益指标由</w:t>
      </w:r>
      <w:r>
        <w:rPr>
          <w:rFonts w:ascii="仿宋_GB2312"/>
          <w:szCs w:val="28"/>
        </w:rPr>
        <w:t>1</w:t>
      </w:r>
      <w:r>
        <w:rPr>
          <w:rFonts w:hint="eastAsia" w:ascii="仿宋_GB2312"/>
          <w:szCs w:val="28"/>
        </w:rPr>
        <w:t>个二级指标和</w:t>
      </w:r>
      <w:r>
        <w:rPr>
          <w:rFonts w:ascii="仿宋_GB2312"/>
          <w:szCs w:val="28"/>
        </w:rPr>
        <w:t>2</w:t>
      </w:r>
      <w:r>
        <w:rPr>
          <w:rFonts w:hint="eastAsia" w:ascii="仿宋_GB2312"/>
          <w:szCs w:val="28"/>
        </w:rPr>
        <w:t>个三级指标构成，权重为</w:t>
      </w:r>
      <w:r>
        <w:rPr>
          <w:rFonts w:hint="eastAsia" w:ascii="仿宋_GB2312"/>
          <w:szCs w:val="28"/>
          <w:lang w:val="en-US" w:eastAsia="zh-CN"/>
        </w:rPr>
        <w:t>15</w:t>
      </w:r>
      <w:r>
        <w:rPr>
          <w:rFonts w:hint="eastAsia" w:ascii="仿宋_GB2312"/>
          <w:szCs w:val="28"/>
        </w:rPr>
        <w:t>分，实际得分</w:t>
      </w:r>
      <w:r>
        <w:rPr>
          <w:rFonts w:hint="eastAsia" w:ascii="仿宋_GB2312"/>
          <w:szCs w:val="28"/>
          <w:lang w:val="en-US" w:eastAsia="zh-CN"/>
        </w:rPr>
        <w:t>15</w:t>
      </w:r>
      <w:r>
        <w:rPr>
          <w:rFonts w:hint="eastAsia" w:ascii="仿宋_GB2312"/>
          <w:szCs w:val="28"/>
        </w:rPr>
        <w:t>分。</w:t>
      </w:r>
      <w:r>
        <w:rPr>
          <w:rFonts w:ascii="仿宋_GB2312"/>
          <w:szCs w:val="28"/>
        </w:rPr>
        <w:t xml:space="preserve"> </w:t>
      </w:r>
    </w:p>
    <w:p>
      <w:pPr>
        <w:pStyle w:val="4"/>
        <w:ind w:firstLine="643"/>
      </w:pPr>
      <w:bookmarkStart w:id="55" w:name="_Toc165277254"/>
      <w:r>
        <w:rPr>
          <w:rFonts w:hint="eastAsia"/>
        </w:rPr>
        <w:t>1</w:t>
      </w:r>
      <w:r>
        <w:t>.</w:t>
      </w:r>
      <w:r>
        <w:rPr>
          <w:rFonts w:hint="eastAsia"/>
        </w:rPr>
        <w:t>项目效益</w:t>
      </w:r>
      <w:bookmarkEnd w:id="55"/>
    </w:p>
    <w:p>
      <w:pPr>
        <w:spacing w:line="360" w:lineRule="auto"/>
        <w:ind w:firstLine="562"/>
        <w:rPr>
          <w:rFonts w:ascii="仿宋_GB2312"/>
          <w:b/>
          <w:bCs/>
          <w:szCs w:val="28"/>
        </w:rPr>
      </w:pPr>
      <w:r>
        <w:rPr>
          <w:rFonts w:hint="eastAsia" w:ascii="仿宋_GB2312"/>
          <w:b/>
          <w:bCs/>
          <w:szCs w:val="28"/>
        </w:rPr>
        <w:t>（1）实施效益</w:t>
      </w:r>
    </w:p>
    <w:p>
      <w:pPr>
        <w:spacing w:line="360" w:lineRule="auto"/>
        <w:ind w:firstLine="562"/>
        <w:rPr>
          <w:rFonts w:ascii="仿宋_GB2312"/>
          <w:szCs w:val="28"/>
        </w:rPr>
      </w:pPr>
      <w:r>
        <w:rPr>
          <w:rFonts w:hint="eastAsia" w:ascii="仿宋_GB2312"/>
          <w:b/>
          <w:bCs/>
          <w:szCs w:val="28"/>
        </w:rPr>
        <w:t>经济效益指标：</w:t>
      </w:r>
      <w:r>
        <w:rPr>
          <w:rFonts w:hint="eastAsia" w:ascii="仿宋_GB2312"/>
          <w:szCs w:val="28"/>
        </w:rPr>
        <w:t>不适用。</w:t>
      </w:r>
      <w:r>
        <w:rPr>
          <w:rFonts w:ascii="仿宋_GB2312"/>
          <w:szCs w:val="28"/>
        </w:rPr>
        <w:t xml:space="preserve"> </w:t>
      </w:r>
    </w:p>
    <w:p>
      <w:pPr>
        <w:spacing w:line="360" w:lineRule="auto"/>
        <w:ind w:firstLine="562"/>
        <w:rPr>
          <w:rFonts w:hint="eastAsia" w:ascii="仿宋_GB2312" w:cs="黑体"/>
          <w:b w:val="0"/>
          <w:bCs w:val="0"/>
          <w:kern w:val="2"/>
          <w:sz w:val="28"/>
          <w:szCs w:val="22"/>
          <w:lang w:val="en-US" w:eastAsia="zh-CN" w:bidi="ar-SA"/>
        </w:rPr>
      </w:pPr>
      <w:r>
        <w:rPr>
          <w:rFonts w:hint="eastAsia" w:ascii="仿宋_GB2312"/>
          <w:b/>
          <w:bCs/>
          <w:szCs w:val="28"/>
          <w:lang w:val="en-US" w:eastAsia="zh-CN"/>
        </w:rPr>
        <w:t>推进优质教育均衡发展</w:t>
      </w:r>
      <w:r>
        <w:rPr>
          <w:rFonts w:hint="eastAsia" w:ascii="仿宋_GB2312"/>
          <w:b/>
          <w:bCs/>
          <w:szCs w:val="28"/>
        </w:rPr>
        <w:t>指标</w:t>
      </w:r>
      <w:r>
        <w:rPr>
          <w:rFonts w:hint="eastAsia" w:ascii="仿宋_GB2312"/>
          <w:szCs w:val="28"/>
        </w:rPr>
        <w:t>：</w:t>
      </w:r>
      <w:r>
        <w:rPr>
          <w:rFonts w:hint="eastAsia" w:ascii="仿宋_GB2312" w:cs="黑体"/>
          <w:b w:val="0"/>
          <w:bCs w:val="0"/>
          <w:kern w:val="2"/>
          <w:sz w:val="28"/>
          <w:szCs w:val="22"/>
          <w:lang w:val="en-US" w:eastAsia="zh-CN" w:bidi="ar-SA"/>
        </w:rPr>
        <w:t>评价指标“解决周边教育需求”，指标值：有效推进，实际完成值：达成年度指标，本项目的实施促进全市教育发展。</w:t>
      </w:r>
    </w:p>
    <w:p>
      <w:pPr>
        <w:spacing w:line="360" w:lineRule="auto"/>
        <w:ind w:firstLine="562"/>
        <w:rPr>
          <w:rFonts w:ascii="仿宋_GB2312"/>
          <w:szCs w:val="28"/>
        </w:rPr>
      </w:pPr>
      <w:r>
        <w:rPr>
          <w:rFonts w:hint="eastAsia" w:ascii="仿宋_GB2312"/>
          <w:b/>
          <w:bCs/>
          <w:szCs w:val="28"/>
        </w:rPr>
        <w:t>生态效益指标</w:t>
      </w:r>
      <w:r>
        <w:rPr>
          <w:rFonts w:hint="eastAsia" w:ascii="仿宋_GB2312"/>
          <w:szCs w:val="28"/>
        </w:rPr>
        <w:t>：不适用。</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1</w:t>
      </w:r>
      <w:r>
        <w:rPr>
          <w:rFonts w:hint="eastAsia" w:ascii="仿宋_GB2312" w:hAnsi="仿宋" w:cs="宋体"/>
          <w:b/>
          <w:kern w:val="0"/>
          <w:szCs w:val="28"/>
          <w:lang w:val="en-US" w:eastAsia="zh-CN"/>
        </w:rPr>
        <w:t>5</w:t>
      </w:r>
      <w:r>
        <w:rPr>
          <w:rFonts w:hint="eastAsia" w:ascii="仿宋_GB2312" w:hAnsi="仿宋" w:cs="宋体"/>
          <w:b/>
          <w:kern w:val="0"/>
          <w:szCs w:val="28"/>
        </w:rPr>
        <w:t>分，得分</w:t>
      </w:r>
      <w:r>
        <w:rPr>
          <w:rFonts w:hint="eastAsia" w:ascii="仿宋_GB2312" w:hAnsi="仿宋" w:cs="宋体"/>
          <w:b/>
          <w:kern w:val="0"/>
          <w:szCs w:val="28"/>
          <w:lang w:val="en-US" w:eastAsia="zh-CN"/>
        </w:rPr>
        <w:t>15</w:t>
      </w:r>
      <w:r>
        <w:rPr>
          <w:rFonts w:hint="eastAsia" w:ascii="仿宋_GB2312" w:hAnsi="仿宋" w:cs="宋体"/>
          <w:b/>
          <w:kern w:val="0"/>
          <w:szCs w:val="28"/>
        </w:rPr>
        <w:t>分。</w:t>
      </w:r>
    </w:p>
    <w:p>
      <w:pPr>
        <w:pStyle w:val="4"/>
        <w:ind w:firstLine="643"/>
      </w:pPr>
      <w:bookmarkStart w:id="56" w:name="_Toc165277255"/>
      <w:r>
        <w:t>2. 满意度指标完成情况分析</w:t>
      </w:r>
      <w:bookmarkEnd w:id="56"/>
    </w:p>
    <w:p>
      <w:pPr>
        <w:spacing w:line="360" w:lineRule="auto"/>
        <w:ind w:firstLine="562"/>
        <w:rPr>
          <w:rFonts w:ascii="仿宋_GB2312"/>
          <w:b/>
          <w:bCs/>
          <w:szCs w:val="28"/>
        </w:rPr>
      </w:pPr>
      <w:r>
        <w:rPr>
          <w:rFonts w:hint="eastAsia" w:ascii="仿宋_GB2312"/>
          <w:b/>
          <w:bCs/>
          <w:szCs w:val="28"/>
        </w:rPr>
        <w:t>（</w:t>
      </w:r>
      <w:r>
        <w:rPr>
          <w:rFonts w:ascii="仿宋_GB2312"/>
          <w:b/>
          <w:bCs/>
          <w:szCs w:val="28"/>
        </w:rPr>
        <w:t>1</w:t>
      </w:r>
      <w:r>
        <w:rPr>
          <w:rFonts w:hint="eastAsia" w:ascii="仿宋_GB2312"/>
          <w:b/>
          <w:bCs/>
          <w:szCs w:val="28"/>
        </w:rPr>
        <w:t>）满意度指标</w:t>
      </w:r>
    </w:p>
    <w:p>
      <w:pPr>
        <w:spacing w:line="360" w:lineRule="auto"/>
        <w:ind w:firstLine="562"/>
        <w:rPr>
          <w:rFonts w:ascii="仿宋_GB2312"/>
          <w:szCs w:val="28"/>
        </w:rPr>
      </w:pPr>
      <w:r>
        <w:rPr>
          <w:rFonts w:hint="eastAsia" w:ascii="仿宋_GB2312" w:cs="黑体"/>
          <w:b/>
          <w:bCs/>
          <w:kern w:val="2"/>
          <w:sz w:val="28"/>
          <w:szCs w:val="22"/>
          <w:lang w:val="en-US" w:eastAsia="zh-CN" w:bidi="ar-SA"/>
        </w:rPr>
        <w:t>社会满意度：</w:t>
      </w:r>
      <w:r>
        <w:rPr>
          <w:rFonts w:hint="eastAsia" w:ascii="仿宋_GB2312" w:cs="黑体"/>
          <w:b w:val="0"/>
          <w:bCs w:val="0"/>
          <w:kern w:val="2"/>
          <w:sz w:val="28"/>
          <w:szCs w:val="22"/>
          <w:lang w:val="en-US" w:eastAsia="zh-CN" w:bidi="ar-SA"/>
        </w:rPr>
        <w:t>评价指标“综合满意度”，指标值：≥90%，实际完成值：≥85%。通过设置问卷调查的方式进行考评评价，共计调查样本总量为20个样本，有效调查问卷20份。其中，统计17份满意3份一般。满意值为85%。故满意度指标得分为4.25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hint="eastAsia" w:ascii="仿宋_GB2312" w:hAnsi="仿宋" w:cs="宋体"/>
          <w:b/>
          <w:kern w:val="0"/>
          <w:szCs w:val="28"/>
          <w:lang w:val="en-US" w:eastAsia="zh-CN"/>
        </w:rPr>
        <w:t>5</w:t>
      </w:r>
      <w:r>
        <w:rPr>
          <w:rFonts w:hint="eastAsia" w:ascii="仿宋_GB2312" w:hAnsi="仿宋" w:cs="宋体"/>
          <w:b/>
          <w:kern w:val="0"/>
          <w:szCs w:val="28"/>
        </w:rPr>
        <w:t>分，得分</w:t>
      </w:r>
      <w:r>
        <w:rPr>
          <w:rFonts w:hint="eastAsia" w:ascii="仿宋_GB2312" w:hAnsi="仿宋" w:cs="宋体"/>
          <w:b/>
          <w:kern w:val="0"/>
          <w:szCs w:val="28"/>
          <w:lang w:val="en-US" w:eastAsia="zh-CN"/>
        </w:rPr>
        <w:t>4.25</w:t>
      </w:r>
      <w:r>
        <w:rPr>
          <w:rFonts w:hint="eastAsia" w:ascii="仿宋_GB2312" w:hAnsi="仿宋" w:cs="宋体"/>
          <w:b/>
          <w:kern w:val="0"/>
          <w:szCs w:val="28"/>
        </w:rPr>
        <w:t>分。</w:t>
      </w:r>
    </w:p>
    <w:p>
      <w:pPr>
        <w:pStyle w:val="2"/>
        <w:ind w:firstLine="0" w:firstLineChars="0"/>
        <w:jc w:val="left"/>
        <w:rPr>
          <w:rFonts w:ascii="仿宋" w:hAnsi="仿宋" w:eastAsia="仿宋"/>
          <w:sz w:val="36"/>
          <w:szCs w:val="36"/>
          <w:lang w:bidi="en-US"/>
        </w:rPr>
      </w:pPr>
      <w:bookmarkStart w:id="57" w:name="_Toc165277256"/>
      <w:bookmarkStart w:id="58" w:name="_Toc67911617"/>
      <w:r>
        <w:rPr>
          <w:rFonts w:hint="eastAsia" w:ascii="仿宋" w:hAnsi="仿宋" w:eastAsia="仿宋"/>
          <w:sz w:val="36"/>
          <w:szCs w:val="36"/>
          <w:lang w:bidi="en-US"/>
        </w:rPr>
        <w:t>五、主要经验及做法、存在的问题及原因分析</w:t>
      </w:r>
      <w:bookmarkEnd w:id="57"/>
      <w:bookmarkEnd w:id="58"/>
    </w:p>
    <w:p>
      <w:pPr>
        <w:pStyle w:val="3"/>
        <w:ind w:firstLine="643"/>
        <w:rPr>
          <w:rFonts w:ascii="仿宋" w:hAnsi="仿宋" w:eastAsia="仿宋"/>
          <w:lang w:bidi="en-US"/>
        </w:rPr>
      </w:pPr>
      <w:bookmarkStart w:id="59" w:name="_Toc67911618"/>
      <w:bookmarkStart w:id="60" w:name="_Toc165277257"/>
      <w:r>
        <w:rPr>
          <w:rFonts w:hint="eastAsia" w:ascii="仿宋" w:hAnsi="仿宋" w:eastAsia="仿宋"/>
          <w:lang w:bidi="en-US"/>
        </w:rPr>
        <w:t>（一）主要经验及做法</w:t>
      </w:r>
      <w:bookmarkEnd w:id="59"/>
      <w:bookmarkEnd w:id="60"/>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1.主要经验和做法</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领导重视，责任明确：学校将工程建设纳入重要议程，设立专门的领导小组，明确各级领导的责任，确保工程建设的顺利进行。</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科学管理，规范操作：在工程建设过程中，学校要求建管中心坚持科学管理和规范操作，确保工程质量和安全。</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加强监督，确保质量：建管中心加强对工程建设的监督，定期进行质量检查和评估，确保工程质量符合标准。</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注重环保，节能减排：在工程建设中，设计院注重环保和节能减排，选择环保材料和节能设备，降低对环境的影响。</w:t>
      </w:r>
    </w:p>
    <w:p>
      <w:pPr>
        <w:spacing w:line="520" w:lineRule="exact"/>
        <w:ind w:firstLine="562" w:firstLineChars="200"/>
        <w:rPr>
          <w:rFonts w:hint="eastAsia" w:ascii="仿宋_GB2312" w:cs="黑体"/>
          <w:b/>
          <w:bCs/>
          <w:kern w:val="2"/>
          <w:sz w:val="28"/>
          <w:szCs w:val="22"/>
          <w:lang w:val="en-US" w:eastAsia="zh-CN" w:bidi="ar-SA"/>
        </w:rPr>
      </w:pPr>
      <w:bookmarkStart w:id="61" w:name="_Toc165277258"/>
      <w:r>
        <w:rPr>
          <w:rFonts w:hint="eastAsia" w:ascii="仿宋_GB2312" w:cs="黑体"/>
          <w:b/>
          <w:bCs/>
          <w:kern w:val="2"/>
          <w:sz w:val="28"/>
          <w:szCs w:val="22"/>
          <w:lang w:val="en-US" w:eastAsia="zh-CN" w:bidi="ar-SA"/>
        </w:rPr>
        <w:t>（二）存在的问题及原因分析</w:t>
      </w:r>
      <w:bookmarkEnd w:id="61"/>
    </w:p>
    <w:p>
      <w:pPr>
        <w:spacing w:line="520" w:lineRule="exact"/>
        <w:ind w:firstLine="560" w:firstLineChars="200"/>
        <w:rPr>
          <w:rFonts w:hint="eastAsia" w:ascii="仿宋_GB2312" w:cs="黑体"/>
          <w:b w:val="0"/>
          <w:bCs w:val="0"/>
          <w:kern w:val="2"/>
          <w:sz w:val="28"/>
          <w:szCs w:val="22"/>
          <w:lang w:val="en-US" w:eastAsia="zh-CN" w:bidi="ar-SA"/>
        </w:rPr>
      </w:pP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1.存在的问题</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资金短缺：学校工程建设需要大量的资金投入，但往往面临资金短缺的问题，导致工程进度受阻。</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管理不善：在工程建设中建管中心存在管理不善，施工结束后存在地下室渗水和部分路面围墙塌陷等质量问题，影响工程质量和安全。</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技术难题：工程建设中遇到技术难题，如地质条件复杂、施工难度大等，给工程建设带来困难。</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与教学需求不匹配：在工程建设中没有充分考虑教学需求，导致工程完工后无法满足教学需要。</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2.分析原因</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资金来源单一：学校工程建设的资金来源主要依赖于政府拨款和教育经费，资金来源单一，难以满足工程建设的需要。</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管理制度不完善：工程建设主要依托建管中心进行管理其他管理制度不完善，缺乏有效的监督机制和责任追究机制。</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技术水平不高：在工程建设中缺乏专业的技术人员和先进的施工技术，难以应对复杂的地质条件和施工难题。</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规划不合理：在工程建设前没有进行充分的规划和论证，导致工程建设与教学需求有不匹配的情况，无法满足教学需要。</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针对以上问题，学校应该加强资金筹措和管理，完善管理制度和监督机制，提高技术水平和施工能力，同时加强规划和论证工作，确保工程建设的顺利完成和满足教学需求。</w:t>
      </w:r>
    </w:p>
    <w:p>
      <w:pPr>
        <w:spacing w:line="360" w:lineRule="auto"/>
        <w:ind w:firstLine="562"/>
        <w:rPr>
          <w:rFonts w:hint="eastAsia" w:ascii="仿宋" w:hAnsi="仿宋" w:eastAsia="仿宋"/>
          <w:sz w:val="36"/>
          <w:szCs w:val="36"/>
          <w:lang w:bidi="en-US"/>
        </w:rPr>
      </w:pPr>
      <w:bookmarkStart w:id="62" w:name="_Toc165277259"/>
      <w:bookmarkStart w:id="63" w:name="_Toc67911620"/>
      <w:bookmarkStart w:id="64" w:name="_Toc67911619"/>
    </w:p>
    <w:p>
      <w:pPr>
        <w:numPr>
          <w:ilvl w:val="0"/>
          <w:numId w:val="0"/>
        </w:numPr>
        <w:spacing w:line="360" w:lineRule="auto"/>
        <w:rPr>
          <w:rFonts w:hint="eastAsia" w:ascii="仿宋" w:hAnsi="仿宋" w:eastAsia="仿宋" w:cs="黑体"/>
          <w:b/>
          <w:bCs/>
          <w:kern w:val="44"/>
          <w:sz w:val="36"/>
          <w:szCs w:val="36"/>
          <w:lang w:val="en-US" w:eastAsia="zh-CN" w:bidi="en-US"/>
        </w:rPr>
      </w:pPr>
      <w:r>
        <w:rPr>
          <w:rFonts w:hint="eastAsia" w:ascii="仿宋" w:hAnsi="仿宋" w:eastAsia="仿宋" w:cs="黑体"/>
          <w:b/>
          <w:bCs/>
          <w:kern w:val="44"/>
          <w:sz w:val="36"/>
          <w:szCs w:val="36"/>
          <w:lang w:val="en-US" w:eastAsia="zh-CN" w:bidi="en-US"/>
        </w:rPr>
        <w:t>六、有关建议</w:t>
      </w:r>
      <w:bookmarkEnd w:id="62"/>
      <w:bookmarkEnd w:id="63"/>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目标管理机制，便于有效考核执行效果。</w:t>
      </w:r>
    </w:p>
    <w:p>
      <w:pPr>
        <w:numPr>
          <w:ilvl w:val="0"/>
          <w:numId w:val="0"/>
        </w:numPr>
        <w:spacing w:line="360" w:lineRule="auto"/>
        <w:rPr>
          <w:rFonts w:ascii="仿宋" w:hAnsi="仿宋" w:eastAsia="仿宋"/>
          <w:sz w:val="36"/>
          <w:szCs w:val="36"/>
          <w:lang w:bidi="en-US"/>
        </w:rPr>
      </w:pPr>
    </w:p>
    <w:p>
      <w:pPr>
        <w:pStyle w:val="2"/>
        <w:ind w:firstLine="0" w:firstLineChars="0"/>
        <w:jc w:val="left"/>
        <w:rPr>
          <w:rFonts w:ascii="仿宋" w:hAnsi="仿宋" w:eastAsia="仿宋"/>
          <w:sz w:val="36"/>
          <w:szCs w:val="36"/>
          <w:lang w:bidi="en-US"/>
        </w:rPr>
      </w:pPr>
      <w:bookmarkStart w:id="65" w:name="_Toc165277260"/>
      <w:r>
        <w:rPr>
          <w:rFonts w:hint="eastAsia" w:ascii="仿宋" w:hAnsi="仿宋" w:eastAsia="仿宋"/>
          <w:sz w:val="36"/>
          <w:szCs w:val="36"/>
          <w:lang w:bidi="en-US"/>
        </w:rPr>
        <w:t>七、其他需要说明的问题</w:t>
      </w:r>
      <w:bookmarkEnd w:id="64"/>
      <w:bookmarkEnd w:id="65"/>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1.项目支出政策和路径设计科学，符合实际需要；</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2.项目安排准确，未发现背离项目立项初衷的情况；</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3.项目的申报、审核机制完善；</w:t>
      </w:r>
    </w:p>
    <w:p>
      <w:pPr>
        <w:spacing w:line="520" w:lineRule="exact"/>
        <w:ind w:firstLine="560" w:firstLineChars="200"/>
        <w:rPr>
          <w:rFonts w:hint="eastAsia" w:ascii="仿宋_GB2312" w:cs="黑体"/>
          <w:b w:val="0"/>
          <w:bCs w:val="0"/>
          <w:kern w:val="2"/>
          <w:sz w:val="28"/>
          <w:szCs w:val="22"/>
          <w:lang w:val="en-US" w:eastAsia="zh-CN" w:bidi="ar-SA"/>
        </w:rPr>
      </w:pPr>
      <w:r>
        <w:rPr>
          <w:rFonts w:hint="eastAsia" w:ascii="仿宋_GB2312" w:cs="黑体"/>
          <w:b w:val="0"/>
          <w:bCs w:val="0"/>
          <w:kern w:val="2"/>
          <w:sz w:val="28"/>
          <w:szCs w:val="22"/>
          <w:lang w:val="en-US" w:eastAsia="zh-CN" w:bidi="ar-SA"/>
        </w:rPr>
        <w:t>4.未发现虚假行为和骗取财政资金的问题。</w:t>
      </w:r>
    </w:p>
    <w:p>
      <w:pPr>
        <w:spacing w:line="520" w:lineRule="exact"/>
        <w:ind w:firstLine="560" w:firstLineChars="200"/>
        <w:rPr>
          <w:rFonts w:hint="eastAsia" w:ascii="仿宋_GB2312" w:cs="黑体"/>
          <w:b w:val="0"/>
          <w:bCs w:val="0"/>
          <w:kern w:val="2"/>
          <w:sz w:val="28"/>
          <w:szCs w:val="22"/>
          <w:lang w:val="en-US" w:eastAsia="zh-CN" w:bidi="ar-SA"/>
        </w:rPr>
      </w:pPr>
    </w:p>
    <w:sectPr>
      <w:headerReference r:id="rId13" w:type="default"/>
      <w:footerReference r:id="rId14"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Gungsuh">
    <w:panose1 w:val="02030600000101010101"/>
    <w:charset w:val="81"/>
    <w:family w:val="roman"/>
    <w:pitch w:val="default"/>
    <w:sig w:usb0="B00002AF" w:usb1="69D77CFB" w:usb2="00000030" w:usb3="00000000" w:csb0="4008009F" w:csb1="DFD7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6182009"/>
      <w:docPartObj>
        <w:docPartGallery w:val="autotext"/>
      </w:docPartObj>
    </w:sdtPr>
    <w:sdtEndPr>
      <w:rPr>
        <w:rFonts w:hint="eastAsia" w:ascii="仿宋_GB2312" w:eastAsia="仿宋_GB2312"/>
        <w:sz w:val="21"/>
        <w:szCs w:val="21"/>
      </w:rPr>
    </w:sdtEndPr>
    <w:sdtContent>
      <w:p>
        <w:pPr>
          <w:pStyle w:val="10"/>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w:t>
        </w:r>
        <w:r>
          <w:rPr>
            <w:rFonts w:hint="eastAsia" w:ascii="仿宋_GB2312" w:eastAsia="仿宋_GB2312"/>
            <w:sz w:val="21"/>
            <w:szCs w:val="21"/>
          </w:rPr>
          <w:fldChar w:fldCharType="end"/>
        </w:r>
      </w:p>
    </w:sdtContent>
  </w:sdt>
  <w:p>
    <w:pPr>
      <w:pStyle w:val="10"/>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836155"/>
      <w:docPartObj>
        <w:docPartGallery w:val="autotext"/>
      </w:docPartObj>
    </w:sdtPr>
    <w:sdtEndPr>
      <w:rPr>
        <w:rFonts w:hint="eastAsia" w:ascii="仿宋_GB2312" w:eastAsia="仿宋_GB2312"/>
        <w:sz w:val="21"/>
        <w:szCs w:val="21"/>
      </w:rPr>
    </w:sdtEndPr>
    <w:sdtContent>
      <w:p>
        <w:pPr>
          <w:pStyle w:val="10"/>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16</w:t>
        </w:r>
        <w:r>
          <w:rPr>
            <w:rFonts w:hint="eastAsia" w:ascii="仿宋_GB2312" w:eastAsia="仿宋_GB2312"/>
            <w:sz w:val="21"/>
            <w:szCs w:val="21"/>
          </w:rPr>
          <w:fldChar w:fldCharType="end"/>
        </w:r>
      </w:p>
    </w:sdtContent>
  </w:sdt>
  <w:p>
    <w:pPr>
      <w:pStyle w:val="10"/>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ind w:firstLine="560"/>
      </w:pPr>
      <w:r>
        <w:separator/>
      </w:r>
    </w:p>
  </w:footnote>
  <w:footnote w:type="continuationSeparator" w:id="5">
    <w:p>
      <w:pPr>
        <w:ind w:firstLine="560"/>
      </w:pPr>
      <w:r>
        <w:continuationSeparator/>
      </w:r>
    </w:p>
  </w:footnote>
  <w:footnote w:id="0">
    <w:p>
      <w:pPr>
        <w:pStyle w:val="13"/>
        <w:ind w:firstLine="0" w:firstLineChars="0"/>
        <w:jc w:val="both"/>
        <w:rPr>
          <w:rFonts w:ascii="仿宋_GB2312"/>
        </w:rPr>
      </w:pPr>
      <w:r>
        <w:rPr>
          <w:rStyle w:val="22"/>
          <w:rFonts w:hint="eastAsia" w:ascii="仿宋_GB2312"/>
        </w:rPr>
        <w:footnoteRef/>
      </w:r>
      <w:r>
        <w:rPr>
          <w:rFonts w:hint="eastAsia" w:ascii="仿宋_GB2312"/>
        </w:rPr>
        <w:t xml:space="preserve"> 前期准备主要包括实地调研和认真研读相关文件，根据绩效评价的基本原理、原则和项目特点，结合项目绩效目标，项目绩效评组制定了评价指标体系、评分标准、评价方法和相关的工作程序及步骤，形成评价初步方案。</w:t>
      </w:r>
    </w:p>
  </w:footnote>
  <w:footnote w:id="1">
    <w:p>
      <w:pPr>
        <w:pStyle w:val="13"/>
        <w:ind w:firstLine="0" w:firstLineChars="0"/>
        <w:jc w:val="both"/>
        <w:rPr>
          <w:rFonts w:ascii="仿宋_GB2312"/>
        </w:rPr>
      </w:pPr>
      <w:r>
        <w:rPr>
          <w:rFonts w:hint="eastAsia" w:ascii="仿宋_GB2312"/>
        </w:rPr>
        <w:t>本次绩效评价结果实施百分制和四级分类，其中90（含）-100分为优、80（含）-90分为良、</w:t>
      </w:r>
      <w:r>
        <w:rPr>
          <w:rFonts w:ascii="仿宋_GB2312"/>
        </w:rPr>
        <w:t>7</w:t>
      </w:r>
      <w:r>
        <w:rPr>
          <w:rFonts w:hint="eastAsia" w:ascii="仿宋_GB2312"/>
        </w:rPr>
        <w:t>0（含）-80分为中、</w:t>
      </w:r>
      <w:r>
        <w:rPr>
          <w:rFonts w:ascii="仿宋_GB2312"/>
        </w:rPr>
        <w:t>7</w:t>
      </w:r>
      <w:r>
        <w:rPr>
          <w:rFonts w:hint="eastAsia" w:ascii="仿宋_GB2312"/>
        </w:rPr>
        <w:t>0分以下为差。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560"/>
      <w:jc w:val="right"/>
      <w:rPr>
        <w:rFonts w:ascii="仿宋_GB2312" w:eastAsia="仿宋_GB2312"/>
        <w:sz w:val="21"/>
        <w:szCs w:val="21"/>
      </w:rPr>
    </w:pPr>
    <w:r>
      <w:rPr>
        <w:rFonts w:hint="eastAsia" w:ascii="仿宋_GB2312" w:eastAsia="仿宋_GB2312"/>
        <w:sz w:val="21"/>
        <w:szCs w:val="21"/>
      </w:rPr>
      <w:t>部门项目报告模板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footnotePr>
    <w:footnote w:id="4"/>
    <w:footnote w:id="5"/>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jMTk2M2ZkYzFjZDdkZWQ2N2Q2M2JmOGJmODU5ZWQifQ=="/>
  </w:docVars>
  <w:rsids>
    <w:rsidRoot w:val="00A43A0A"/>
    <w:rsid w:val="00031A7F"/>
    <w:rsid w:val="00042151"/>
    <w:rsid w:val="000438A0"/>
    <w:rsid w:val="0007002C"/>
    <w:rsid w:val="00071C0F"/>
    <w:rsid w:val="00086724"/>
    <w:rsid w:val="000A2B58"/>
    <w:rsid w:val="000A43E8"/>
    <w:rsid w:val="000B520E"/>
    <w:rsid w:val="000B6FA0"/>
    <w:rsid w:val="000C22A1"/>
    <w:rsid w:val="000C720A"/>
    <w:rsid w:val="000C77D3"/>
    <w:rsid w:val="000E1EB5"/>
    <w:rsid w:val="000F5DE3"/>
    <w:rsid w:val="00111969"/>
    <w:rsid w:val="00147D9F"/>
    <w:rsid w:val="001544E6"/>
    <w:rsid w:val="001645EB"/>
    <w:rsid w:val="00187B13"/>
    <w:rsid w:val="001A3189"/>
    <w:rsid w:val="001A79B9"/>
    <w:rsid w:val="001C50BA"/>
    <w:rsid w:val="001D66B5"/>
    <w:rsid w:val="001E754D"/>
    <w:rsid w:val="001E7E9F"/>
    <w:rsid w:val="00201C55"/>
    <w:rsid w:val="00212817"/>
    <w:rsid w:val="00213964"/>
    <w:rsid w:val="00220DC6"/>
    <w:rsid w:val="0022245F"/>
    <w:rsid w:val="0022294C"/>
    <w:rsid w:val="00225A82"/>
    <w:rsid w:val="00247354"/>
    <w:rsid w:val="00250131"/>
    <w:rsid w:val="00261F2F"/>
    <w:rsid w:val="00262533"/>
    <w:rsid w:val="00262B75"/>
    <w:rsid w:val="002767C9"/>
    <w:rsid w:val="002810AA"/>
    <w:rsid w:val="002A6E59"/>
    <w:rsid w:val="002B7C09"/>
    <w:rsid w:val="002E1E67"/>
    <w:rsid w:val="002E608B"/>
    <w:rsid w:val="00302E15"/>
    <w:rsid w:val="0032183D"/>
    <w:rsid w:val="0032329D"/>
    <w:rsid w:val="00332C71"/>
    <w:rsid w:val="00333EA5"/>
    <w:rsid w:val="00340CED"/>
    <w:rsid w:val="00343485"/>
    <w:rsid w:val="00350839"/>
    <w:rsid w:val="003766AB"/>
    <w:rsid w:val="00377BA7"/>
    <w:rsid w:val="003C24DB"/>
    <w:rsid w:val="003C4BD9"/>
    <w:rsid w:val="003D611E"/>
    <w:rsid w:val="003D74DE"/>
    <w:rsid w:val="00404C10"/>
    <w:rsid w:val="004249EE"/>
    <w:rsid w:val="00425C1F"/>
    <w:rsid w:val="00437C39"/>
    <w:rsid w:val="00453D4B"/>
    <w:rsid w:val="004925F6"/>
    <w:rsid w:val="004957B3"/>
    <w:rsid w:val="004B12BE"/>
    <w:rsid w:val="004B5A40"/>
    <w:rsid w:val="004D4759"/>
    <w:rsid w:val="004E0DF3"/>
    <w:rsid w:val="004F17C9"/>
    <w:rsid w:val="004F66E9"/>
    <w:rsid w:val="00502EC2"/>
    <w:rsid w:val="005345BF"/>
    <w:rsid w:val="00534DD6"/>
    <w:rsid w:val="005417D4"/>
    <w:rsid w:val="0054442E"/>
    <w:rsid w:val="00553F30"/>
    <w:rsid w:val="00563798"/>
    <w:rsid w:val="00566083"/>
    <w:rsid w:val="0056794C"/>
    <w:rsid w:val="005764CD"/>
    <w:rsid w:val="005779FD"/>
    <w:rsid w:val="0058379D"/>
    <w:rsid w:val="00592653"/>
    <w:rsid w:val="00593474"/>
    <w:rsid w:val="005A12D0"/>
    <w:rsid w:val="005A2254"/>
    <w:rsid w:val="005A5ABF"/>
    <w:rsid w:val="005A5E3B"/>
    <w:rsid w:val="005A76A5"/>
    <w:rsid w:val="005B7A28"/>
    <w:rsid w:val="005D02D3"/>
    <w:rsid w:val="005D2F48"/>
    <w:rsid w:val="005D4D5B"/>
    <w:rsid w:val="005E2098"/>
    <w:rsid w:val="005F226E"/>
    <w:rsid w:val="005F273F"/>
    <w:rsid w:val="005F3A17"/>
    <w:rsid w:val="00604BA5"/>
    <w:rsid w:val="00607D5B"/>
    <w:rsid w:val="00611B95"/>
    <w:rsid w:val="00614CEC"/>
    <w:rsid w:val="00627F97"/>
    <w:rsid w:val="0065079B"/>
    <w:rsid w:val="00656DB7"/>
    <w:rsid w:val="00662C67"/>
    <w:rsid w:val="006B60FE"/>
    <w:rsid w:val="006C40AE"/>
    <w:rsid w:val="006E6431"/>
    <w:rsid w:val="006F3315"/>
    <w:rsid w:val="007027A1"/>
    <w:rsid w:val="00705854"/>
    <w:rsid w:val="00722A72"/>
    <w:rsid w:val="0073210F"/>
    <w:rsid w:val="00733402"/>
    <w:rsid w:val="0073417E"/>
    <w:rsid w:val="00743F96"/>
    <w:rsid w:val="0076734C"/>
    <w:rsid w:val="0078063A"/>
    <w:rsid w:val="00783118"/>
    <w:rsid w:val="00794639"/>
    <w:rsid w:val="007A772C"/>
    <w:rsid w:val="007C3F63"/>
    <w:rsid w:val="007F185A"/>
    <w:rsid w:val="007F6051"/>
    <w:rsid w:val="007F6745"/>
    <w:rsid w:val="007F77F3"/>
    <w:rsid w:val="008123C5"/>
    <w:rsid w:val="00831695"/>
    <w:rsid w:val="008327EB"/>
    <w:rsid w:val="00835535"/>
    <w:rsid w:val="00845BE2"/>
    <w:rsid w:val="00863F65"/>
    <w:rsid w:val="00866FB0"/>
    <w:rsid w:val="00884C5F"/>
    <w:rsid w:val="00894E2C"/>
    <w:rsid w:val="008A3394"/>
    <w:rsid w:val="008A476A"/>
    <w:rsid w:val="008C4803"/>
    <w:rsid w:val="008D3FFC"/>
    <w:rsid w:val="008D6D96"/>
    <w:rsid w:val="009068E0"/>
    <w:rsid w:val="00907B15"/>
    <w:rsid w:val="00917C57"/>
    <w:rsid w:val="009214DF"/>
    <w:rsid w:val="00923604"/>
    <w:rsid w:val="009258BD"/>
    <w:rsid w:val="00933961"/>
    <w:rsid w:val="009546FE"/>
    <w:rsid w:val="0095473C"/>
    <w:rsid w:val="00954936"/>
    <w:rsid w:val="00963948"/>
    <w:rsid w:val="00981879"/>
    <w:rsid w:val="0098656D"/>
    <w:rsid w:val="00995079"/>
    <w:rsid w:val="00996B5B"/>
    <w:rsid w:val="009A33B6"/>
    <w:rsid w:val="009D4C5C"/>
    <w:rsid w:val="009F1224"/>
    <w:rsid w:val="009F55B0"/>
    <w:rsid w:val="00A00443"/>
    <w:rsid w:val="00A106CE"/>
    <w:rsid w:val="00A2064E"/>
    <w:rsid w:val="00A22963"/>
    <w:rsid w:val="00A425B1"/>
    <w:rsid w:val="00A43A0A"/>
    <w:rsid w:val="00A52E6C"/>
    <w:rsid w:val="00A52E72"/>
    <w:rsid w:val="00A675F9"/>
    <w:rsid w:val="00A92F9F"/>
    <w:rsid w:val="00AB7184"/>
    <w:rsid w:val="00AD5430"/>
    <w:rsid w:val="00AE1DCD"/>
    <w:rsid w:val="00AE6C31"/>
    <w:rsid w:val="00B22F6F"/>
    <w:rsid w:val="00B4167E"/>
    <w:rsid w:val="00B56B1B"/>
    <w:rsid w:val="00B72218"/>
    <w:rsid w:val="00B90BA4"/>
    <w:rsid w:val="00B928FF"/>
    <w:rsid w:val="00B962E0"/>
    <w:rsid w:val="00BA0A35"/>
    <w:rsid w:val="00BA10B1"/>
    <w:rsid w:val="00BA13B7"/>
    <w:rsid w:val="00BA65B8"/>
    <w:rsid w:val="00BA76B5"/>
    <w:rsid w:val="00BC5C63"/>
    <w:rsid w:val="00BD263E"/>
    <w:rsid w:val="00BF1766"/>
    <w:rsid w:val="00C00DA2"/>
    <w:rsid w:val="00C10C79"/>
    <w:rsid w:val="00C20C51"/>
    <w:rsid w:val="00C409B9"/>
    <w:rsid w:val="00C634EC"/>
    <w:rsid w:val="00C66545"/>
    <w:rsid w:val="00C8191C"/>
    <w:rsid w:val="00C927D9"/>
    <w:rsid w:val="00CA74C5"/>
    <w:rsid w:val="00CB3DFC"/>
    <w:rsid w:val="00CB6D38"/>
    <w:rsid w:val="00CE6337"/>
    <w:rsid w:val="00CF640C"/>
    <w:rsid w:val="00D04E2D"/>
    <w:rsid w:val="00D152B1"/>
    <w:rsid w:val="00D23DCB"/>
    <w:rsid w:val="00D3320C"/>
    <w:rsid w:val="00D435A3"/>
    <w:rsid w:val="00D4562E"/>
    <w:rsid w:val="00D84293"/>
    <w:rsid w:val="00D9228E"/>
    <w:rsid w:val="00DA4BA7"/>
    <w:rsid w:val="00DB316E"/>
    <w:rsid w:val="00DC1EA8"/>
    <w:rsid w:val="00DD54BF"/>
    <w:rsid w:val="00DF643F"/>
    <w:rsid w:val="00E00B28"/>
    <w:rsid w:val="00E014DB"/>
    <w:rsid w:val="00E04EC2"/>
    <w:rsid w:val="00E14FE5"/>
    <w:rsid w:val="00E24ACA"/>
    <w:rsid w:val="00E26770"/>
    <w:rsid w:val="00E30B1D"/>
    <w:rsid w:val="00E526C7"/>
    <w:rsid w:val="00E73F9C"/>
    <w:rsid w:val="00E75E83"/>
    <w:rsid w:val="00EA63EF"/>
    <w:rsid w:val="00EA7E72"/>
    <w:rsid w:val="00EB0442"/>
    <w:rsid w:val="00EC5F03"/>
    <w:rsid w:val="00EE20A2"/>
    <w:rsid w:val="00EF3B51"/>
    <w:rsid w:val="00F06D23"/>
    <w:rsid w:val="00F36E98"/>
    <w:rsid w:val="00F52C6D"/>
    <w:rsid w:val="00F55451"/>
    <w:rsid w:val="00F73710"/>
    <w:rsid w:val="00F872E7"/>
    <w:rsid w:val="00FA4373"/>
    <w:rsid w:val="00FB09C6"/>
    <w:rsid w:val="00FB2BBD"/>
    <w:rsid w:val="00FD7A36"/>
    <w:rsid w:val="00FD7C5F"/>
    <w:rsid w:val="00FE193C"/>
    <w:rsid w:val="00FE7DCA"/>
    <w:rsid w:val="00FF0452"/>
    <w:rsid w:val="027B44E3"/>
    <w:rsid w:val="05704DD8"/>
    <w:rsid w:val="07D57174"/>
    <w:rsid w:val="096813E1"/>
    <w:rsid w:val="09B46A91"/>
    <w:rsid w:val="0BD73C95"/>
    <w:rsid w:val="0D815DD4"/>
    <w:rsid w:val="14A30D26"/>
    <w:rsid w:val="153F4DDE"/>
    <w:rsid w:val="162D7FEC"/>
    <w:rsid w:val="18E52560"/>
    <w:rsid w:val="1DCC1086"/>
    <w:rsid w:val="20080E5C"/>
    <w:rsid w:val="21582E98"/>
    <w:rsid w:val="21A672BC"/>
    <w:rsid w:val="23C640E9"/>
    <w:rsid w:val="23C87E61"/>
    <w:rsid w:val="24DC20EF"/>
    <w:rsid w:val="252B4B4C"/>
    <w:rsid w:val="2A510210"/>
    <w:rsid w:val="32AB7A20"/>
    <w:rsid w:val="335A484E"/>
    <w:rsid w:val="38FD63A7"/>
    <w:rsid w:val="3C39146E"/>
    <w:rsid w:val="3E7B3793"/>
    <w:rsid w:val="3EA370A9"/>
    <w:rsid w:val="45B20519"/>
    <w:rsid w:val="4D136AB3"/>
    <w:rsid w:val="52976ACD"/>
    <w:rsid w:val="534327B1"/>
    <w:rsid w:val="56594A6D"/>
    <w:rsid w:val="56F411F5"/>
    <w:rsid w:val="573131FD"/>
    <w:rsid w:val="58DE14C6"/>
    <w:rsid w:val="5B444423"/>
    <w:rsid w:val="5BAF30D9"/>
    <w:rsid w:val="6110112A"/>
    <w:rsid w:val="61516D66"/>
    <w:rsid w:val="619C04C1"/>
    <w:rsid w:val="7499002B"/>
    <w:rsid w:val="75722B4E"/>
    <w:rsid w:val="77F24622"/>
    <w:rsid w:val="7D935F5F"/>
    <w:rsid w:val="7DE10457"/>
    <w:rsid w:val="7FD03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3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5"/>
    <w:autoRedefine/>
    <w:unhideWhenUsed/>
    <w:qFormat/>
    <w:uiPriority w:val="9"/>
    <w:pPr>
      <w:keepNext/>
      <w:keepLines/>
      <w:spacing w:before="260" w:after="260" w:line="416" w:lineRule="auto"/>
      <w:outlineLvl w:val="2"/>
    </w:pPr>
    <w:rPr>
      <w:b/>
      <w:bCs/>
      <w:sz w:val="32"/>
      <w:szCs w:val="32"/>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32"/>
    <w:autoRedefine/>
    <w:unhideWhenUsed/>
    <w:qFormat/>
    <w:uiPriority w:val="99"/>
    <w:pPr>
      <w:jc w:val="left"/>
    </w:pPr>
  </w:style>
  <w:style w:type="paragraph" w:styleId="6">
    <w:name w:val="Body Text"/>
    <w:basedOn w:val="1"/>
    <w:autoRedefine/>
    <w:unhideWhenUsed/>
    <w:qFormat/>
    <w:uiPriority w:val="99"/>
    <w:pPr>
      <w:widowControl/>
      <w:spacing w:before="150" w:after="150" w:line="264" w:lineRule="auto"/>
      <w:ind w:firstLine="567"/>
    </w:pPr>
    <w:rPr>
      <w:rFonts w:ascii="华文楷体" w:hAnsi="华文楷体" w:eastAsia="LF_Kai"/>
      <w:kern w:val="0"/>
      <w:sz w:val="24"/>
      <w:lang w:val="en-GB"/>
    </w:rPr>
  </w:style>
  <w:style w:type="paragraph" w:styleId="7">
    <w:name w:val="toc 3"/>
    <w:basedOn w:val="1"/>
    <w:next w:val="1"/>
    <w:autoRedefine/>
    <w:unhideWhenUsed/>
    <w:qFormat/>
    <w:uiPriority w:val="39"/>
    <w:pPr>
      <w:ind w:left="840" w:leftChars="400"/>
    </w:pPr>
  </w:style>
  <w:style w:type="paragraph" w:styleId="8">
    <w:name w:val="Date"/>
    <w:basedOn w:val="1"/>
    <w:next w:val="1"/>
    <w:link w:val="25"/>
    <w:autoRedefine/>
    <w:semiHidden/>
    <w:unhideWhenUsed/>
    <w:qFormat/>
    <w:uiPriority w:val="99"/>
    <w:pPr>
      <w:ind w:left="100" w:leftChars="2500"/>
    </w:pPr>
  </w:style>
  <w:style w:type="paragraph" w:styleId="9">
    <w:name w:val="Balloon Text"/>
    <w:basedOn w:val="1"/>
    <w:link w:val="34"/>
    <w:autoRedefine/>
    <w:semiHidden/>
    <w:unhideWhenUsed/>
    <w:qFormat/>
    <w:uiPriority w:val="99"/>
    <w:rPr>
      <w:sz w:val="18"/>
      <w:szCs w:val="18"/>
    </w:rPr>
  </w:style>
  <w:style w:type="paragraph" w:styleId="10">
    <w:name w:val="footer"/>
    <w:basedOn w:val="1"/>
    <w:link w:val="24"/>
    <w:autoRedefine/>
    <w:unhideWhenUsed/>
    <w:qFormat/>
    <w:uiPriority w:val="99"/>
    <w:pPr>
      <w:tabs>
        <w:tab w:val="center" w:pos="4153"/>
        <w:tab w:val="right" w:pos="8306"/>
      </w:tabs>
      <w:snapToGrid w:val="0"/>
      <w:ind w:firstLine="0" w:firstLineChars="0"/>
      <w:jc w:val="left"/>
    </w:pPr>
    <w:rPr>
      <w:rFonts w:asciiTheme="minorHAnsi" w:hAnsiTheme="minorHAnsi" w:eastAsiaTheme="minorEastAsia" w:cstheme="minorBidi"/>
      <w:sz w:val="18"/>
      <w:szCs w:val="18"/>
    </w:rPr>
  </w:style>
  <w:style w:type="paragraph" w:styleId="11">
    <w:name w:val="header"/>
    <w:basedOn w:val="1"/>
    <w:link w:val="23"/>
    <w:autoRedefine/>
    <w:unhideWhenUsed/>
    <w:qFormat/>
    <w:uiPriority w:val="99"/>
    <w:pPr>
      <w:pBdr>
        <w:bottom w:val="single" w:color="auto" w:sz="6" w:space="1"/>
      </w:pBdr>
      <w:tabs>
        <w:tab w:val="center" w:pos="4153"/>
        <w:tab w:val="right" w:pos="8306"/>
      </w:tabs>
      <w:snapToGrid w:val="0"/>
      <w:ind w:firstLine="0" w:firstLineChars="0"/>
      <w:jc w:val="center"/>
    </w:pPr>
    <w:rPr>
      <w:rFonts w:asciiTheme="minorHAnsi" w:hAnsiTheme="minorHAnsi" w:eastAsiaTheme="minorEastAsia" w:cstheme="minorBidi"/>
      <w:sz w:val="18"/>
      <w:szCs w:val="18"/>
    </w:rPr>
  </w:style>
  <w:style w:type="paragraph" w:styleId="12">
    <w:name w:val="toc 1"/>
    <w:basedOn w:val="1"/>
    <w:next w:val="1"/>
    <w:autoRedefine/>
    <w:unhideWhenUsed/>
    <w:qFormat/>
    <w:uiPriority w:val="39"/>
  </w:style>
  <w:style w:type="paragraph" w:styleId="13">
    <w:name w:val="footnote text"/>
    <w:basedOn w:val="1"/>
    <w:link w:val="27"/>
    <w:autoRedefine/>
    <w:semiHidden/>
    <w:unhideWhenUsed/>
    <w:qFormat/>
    <w:uiPriority w:val="99"/>
    <w:pPr>
      <w:snapToGrid w:val="0"/>
      <w:jc w:val="left"/>
    </w:pPr>
    <w:rPr>
      <w:sz w:val="18"/>
      <w:szCs w:val="18"/>
    </w:rPr>
  </w:style>
  <w:style w:type="paragraph" w:styleId="14">
    <w:name w:val="toc 2"/>
    <w:basedOn w:val="1"/>
    <w:next w:val="1"/>
    <w:autoRedefine/>
    <w:unhideWhenUsed/>
    <w:qFormat/>
    <w:uiPriority w:val="39"/>
    <w:pPr>
      <w:ind w:left="420" w:leftChars="200"/>
    </w:pPr>
  </w:style>
  <w:style w:type="paragraph" w:styleId="15">
    <w:name w:val="Normal (Web)"/>
    <w:basedOn w:val="1"/>
    <w:autoRedefine/>
    <w:qFormat/>
    <w:uiPriority w:val="0"/>
    <w:rPr>
      <w:sz w:val="24"/>
    </w:rPr>
  </w:style>
  <w:style w:type="paragraph" w:styleId="16">
    <w:name w:val="annotation subject"/>
    <w:basedOn w:val="5"/>
    <w:next w:val="5"/>
    <w:link w:val="33"/>
    <w:autoRedefine/>
    <w:semiHidden/>
    <w:unhideWhenUsed/>
    <w:qFormat/>
    <w:uiPriority w:val="99"/>
    <w:rPr>
      <w:b/>
      <w:bCs/>
    </w:rPr>
  </w:style>
  <w:style w:type="table" w:styleId="18">
    <w:name w:val="Table Grid"/>
    <w:basedOn w:val="1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autoRedefine/>
    <w:unhideWhenUsed/>
    <w:qFormat/>
    <w:uiPriority w:val="99"/>
    <w:rPr>
      <w:color w:val="0563C1" w:themeColor="hyperlink"/>
      <w:u w:val="single"/>
      <w14:textFill>
        <w14:solidFill>
          <w14:schemeClr w14:val="hlink"/>
        </w14:solidFill>
      </w14:textFill>
    </w:rPr>
  </w:style>
  <w:style w:type="character" w:styleId="21">
    <w:name w:val="annotation reference"/>
    <w:basedOn w:val="19"/>
    <w:autoRedefine/>
    <w:semiHidden/>
    <w:unhideWhenUsed/>
    <w:qFormat/>
    <w:uiPriority w:val="99"/>
    <w:rPr>
      <w:sz w:val="21"/>
      <w:szCs w:val="21"/>
    </w:rPr>
  </w:style>
  <w:style w:type="character" w:styleId="22">
    <w:name w:val="footnote reference"/>
    <w:basedOn w:val="19"/>
    <w:autoRedefine/>
    <w:semiHidden/>
    <w:unhideWhenUsed/>
    <w:qFormat/>
    <w:uiPriority w:val="99"/>
    <w:rPr>
      <w:vertAlign w:val="superscript"/>
    </w:rPr>
  </w:style>
  <w:style w:type="character" w:customStyle="1" w:styleId="23">
    <w:name w:val="页眉 Char"/>
    <w:basedOn w:val="19"/>
    <w:link w:val="11"/>
    <w:autoRedefine/>
    <w:qFormat/>
    <w:uiPriority w:val="99"/>
    <w:rPr>
      <w:sz w:val="18"/>
      <w:szCs w:val="18"/>
    </w:rPr>
  </w:style>
  <w:style w:type="character" w:customStyle="1" w:styleId="24">
    <w:name w:val="页脚 Char"/>
    <w:basedOn w:val="19"/>
    <w:link w:val="10"/>
    <w:autoRedefine/>
    <w:qFormat/>
    <w:uiPriority w:val="99"/>
    <w:rPr>
      <w:sz w:val="18"/>
      <w:szCs w:val="18"/>
    </w:rPr>
  </w:style>
  <w:style w:type="character" w:customStyle="1" w:styleId="25">
    <w:name w:val="日期 Char"/>
    <w:basedOn w:val="19"/>
    <w:link w:val="8"/>
    <w:autoRedefine/>
    <w:semiHidden/>
    <w:qFormat/>
    <w:uiPriority w:val="99"/>
    <w:rPr>
      <w:rFonts w:ascii="Calibri" w:hAnsi="Calibri" w:eastAsia="仿宋_GB2312" w:cs="黑体"/>
      <w:sz w:val="28"/>
    </w:rPr>
  </w:style>
  <w:style w:type="character" w:customStyle="1" w:styleId="26">
    <w:name w:val="标题 2 Char"/>
    <w:basedOn w:val="19"/>
    <w:link w:val="3"/>
    <w:autoRedefine/>
    <w:qFormat/>
    <w:uiPriority w:val="9"/>
    <w:rPr>
      <w:rFonts w:asciiTheme="majorHAnsi" w:hAnsiTheme="majorHAnsi" w:eastAsiaTheme="majorEastAsia" w:cstheme="majorBidi"/>
      <w:b/>
      <w:bCs/>
      <w:sz w:val="32"/>
      <w:szCs w:val="32"/>
    </w:rPr>
  </w:style>
  <w:style w:type="character" w:customStyle="1" w:styleId="27">
    <w:name w:val="脚注文本 Char"/>
    <w:basedOn w:val="19"/>
    <w:link w:val="13"/>
    <w:autoRedefine/>
    <w:semiHidden/>
    <w:qFormat/>
    <w:uiPriority w:val="99"/>
    <w:rPr>
      <w:rFonts w:ascii="Calibri" w:hAnsi="Calibri" w:eastAsia="仿宋_GB2312" w:cs="黑体"/>
      <w:sz w:val="18"/>
      <w:szCs w:val="18"/>
    </w:rPr>
  </w:style>
  <w:style w:type="paragraph" w:styleId="28">
    <w:name w:val="List Paragraph"/>
    <w:basedOn w:val="1"/>
    <w:autoRedefine/>
    <w:qFormat/>
    <w:uiPriority w:val="34"/>
    <w:pPr>
      <w:ind w:firstLine="420"/>
    </w:pPr>
  </w:style>
  <w:style w:type="table" w:customStyle="1" w:styleId="29">
    <w:name w:val="网格型1"/>
    <w:basedOn w:val="1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0">
    <w:name w:val="标题 1 Char"/>
    <w:basedOn w:val="19"/>
    <w:link w:val="2"/>
    <w:autoRedefine/>
    <w:qFormat/>
    <w:uiPriority w:val="9"/>
    <w:rPr>
      <w:rFonts w:ascii="Calibri" w:hAnsi="Calibri" w:eastAsia="仿宋_GB2312" w:cs="黑体"/>
      <w:b/>
      <w:bCs/>
      <w:kern w:val="44"/>
      <w:sz w:val="44"/>
      <w:szCs w:val="44"/>
    </w:rPr>
  </w:style>
  <w:style w:type="paragraph" w:customStyle="1" w:styleId="31">
    <w:name w:val="TOC Heading"/>
    <w:basedOn w:val="2"/>
    <w:next w:val="1"/>
    <w:autoRedefine/>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32">
    <w:name w:val="批注文字 Char"/>
    <w:basedOn w:val="19"/>
    <w:link w:val="5"/>
    <w:autoRedefine/>
    <w:qFormat/>
    <w:uiPriority w:val="99"/>
    <w:rPr>
      <w:rFonts w:ascii="Calibri" w:hAnsi="Calibri" w:eastAsia="仿宋_GB2312" w:cs="黑体"/>
      <w:sz w:val="28"/>
    </w:rPr>
  </w:style>
  <w:style w:type="character" w:customStyle="1" w:styleId="33">
    <w:name w:val="批注主题 Char"/>
    <w:basedOn w:val="32"/>
    <w:link w:val="16"/>
    <w:autoRedefine/>
    <w:semiHidden/>
    <w:qFormat/>
    <w:uiPriority w:val="99"/>
    <w:rPr>
      <w:rFonts w:ascii="Calibri" w:hAnsi="Calibri" w:eastAsia="仿宋_GB2312" w:cs="黑体"/>
      <w:b/>
      <w:bCs/>
      <w:sz w:val="28"/>
    </w:rPr>
  </w:style>
  <w:style w:type="character" w:customStyle="1" w:styleId="34">
    <w:name w:val="批注框文本 Char"/>
    <w:basedOn w:val="19"/>
    <w:link w:val="9"/>
    <w:autoRedefine/>
    <w:semiHidden/>
    <w:qFormat/>
    <w:uiPriority w:val="99"/>
    <w:rPr>
      <w:rFonts w:ascii="Calibri" w:hAnsi="Calibri" w:eastAsia="仿宋_GB2312" w:cs="黑体"/>
      <w:sz w:val="18"/>
      <w:szCs w:val="18"/>
    </w:rPr>
  </w:style>
  <w:style w:type="character" w:customStyle="1" w:styleId="35">
    <w:name w:val="标题 3 Char"/>
    <w:basedOn w:val="19"/>
    <w:link w:val="4"/>
    <w:autoRedefine/>
    <w:qFormat/>
    <w:uiPriority w:val="9"/>
    <w:rPr>
      <w:rFonts w:ascii="Calibri" w:hAnsi="Calibri" w:eastAsia="仿宋_GB2312" w:cs="黑体"/>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A0CF6-DD1A-4376-8413-2CCF2B668F46}">
  <ds:schemaRefs/>
</ds:datastoreItem>
</file>

<file path=docProps/app.xml><?xml version="1.0" encoding="utf-8"?>
<Properties xmlns="http://schemas.openxmlformats.org/officeDocument/2006/extended-properties" xmlns:vt="http://schemas.openxmlformats.org/officeDocument/2006/docPropsVTypes">
  <Template>Normal</Template>
  <Pages>34</Pages>
  <Words>1735</Words>
  <Characters>9892</Characters>
  <Lines>82</Lines>
  <Paragraphs>23</Paragraphs>
  <TotalTime>85</TotalTime>
  <ScaleCrop>false</ScaleCrop>
  <LinksUpToDate>false</LinksUpToDate>
  <CharactersWithSpaces>11604</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2024-04-12T07:46:00Z</dcterms:created>
  <dc:creator>张 宇</dc:creator>
  <cp:lastModifiedBy>Administrator</cp:lastModifiedBy>
  <cp:lastPrinted>2023-04-11T02:57:00Z</cp:lastPrinted>
  <dcterms:modified xsi:type="dcterms:W3CDTF">2024-09-03T10:36:06Z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A71B7D9AC2344978A5FC59CC7D98FEDF_12</vt:lpwstr>
  </property>
</Properties>
</file>