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0" w:firstLineChars="0"/>
        <w:rPr>
          <w:rFonts w:ascii="Times New Roman" w:hAnsi="Times New Roman" w:eastAsia="黑体" w:cs="Times New Roman"/>
          <w:b/>
          <w:kern w:val="0"/>
          <w:sz w:val="50"/>
          <w:szCs w:val="50"/>
          <w:lang w:bidi="en-US"/>
        </w:rPr>
      </w:pPr>
      <w:bookmarkStart w:id="63" w:name="_GoBack"/>
      <w:bookmarkEnd w:id="63"/>
    </w:p>
    <w:p>
      <w:pPr>
        <w:spacing w:line="480" w:lineRule="auto"/>
        <w:ind w:firstLine="0" w:firstLineChars="0"/>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before="120" w:after="120" w:line="480" w:lineRule="auto"/>
        <w:ind w:firstLine="0" w:firstLineChars="0"/>
        <w:jc w:val="center"/>
        <w:rPr>
          <w:rFonts w:ascii="仿宋_GB2312" w:hAnsi="Arial"/>
          <w:b/>
          <w:sz w:val="44"/>
          <w:szCs w:val="44"/>
        </w:rPr>
      </w:pPr>
      <w:r>
        <w:rPr>
          <w:rFonts w:hint="eastAsia" w:ascii="仿宋_GB2312" w:hAnsi="Arial"/>
          <w:b/>
          <w:sz w:val="44"/>
          <w:szCs w:val="44"/>
        </w:rPr>
        <w:t>财政项目支出绩效评价报告</w:t>
      </w: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仿宋_GB2312" w:hAnsi="Times New Roman" w:cs="Times New Roman"/>
          <w:kern w:val="0"/>
          <w:sz w:val="30"/>
          <w:szCs w:val="30"/>
          <w:lang w:bidi="en-US"/>
        </w:rPr>
      </w:pPr>
    </w:p>
    <w:p>
      <w:pPr>
        <w:spacing w:line="480" w:lineRule="auto"/>
        <w:ind w:firstLine="1411" w:firstLineChars="441"/>
        <w:jc w:val="left"/>
        <w:rPr>
          <w:rFonts w:hint="default" w:ascii="仿宋_GB2312" w:hAnsi="Times New Roman" w:eastAsia="仿宋_GB2312" w:cs="Times New Roman"/>
          <w:kern w:val="0"/>
          <w:sz w:val="32"/>
          <w:szCs w:val="32"/>
          <w:lang w:val="en-US" w:eastAsia="zh-CN" w:bidi="en-US"/>
        </w:rPr>
      </w:pPr>
      <w:r>
        <w:rPr>
          <w:rFonts w:hint="eastAsia" w:ascii="仿宋_GB2312" w:hAnsi="Times New Roman" w:cs="Times New Roman"/>
          <w:kern w:val="0"/>
          <w:sz w:val="32"/>
          <w:szCs w:val="32"/>
          <w:lang w:bidi="en-US"/>
        </w:rPr>
        <w:t>项目名称：</w:t>
      </w:r>
      <w:r>
        <w:rPr>
          <w:rFonts w:hint="eastAsia" w:ascii="仿宋_GB2312" w:hAnsi="Times New Roman" w:cs="Times New Roman"/>
          <w:kern w:val="0"/>
          <w:sz w:val="32"/>
          <w:szCs w:val="32"/>
          <w:lang w:val="en-US" w:eastAsia="zh-CN" w:bidi="en-US"/>
        </w:rPr>
        <w:t>设备购置项目</w:t>
      </w:r>
    </w:p>
    <w:p>
      <w:pPr>
        <w:spacing w:line="480" w:lineRule="auto"/>
        <w:ind w:left="280" w:leftChars="100" w:firstLine="1091" w:firstLineChars="3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项目单位：</w:t>
      </w:r>
      <w:r>
        <w:rPr>
          <w:rFonts w:hint="eastAsia" w:ascii="仿宋_GB2312" w:hAnsi="Times New Roman" w:cs="Times New Roman"/>
          <w:kern w:val="0"/>
          <w:sz w:val="32"/>
          <w:szCs w:val="32"/>
          <w:lang w:val="en-US" w:eastAsia="zh-CN" w:bidi="en-US"/>
        </w:rPr>
        <w:t>乌鲁木齐市第一中学</w:t>
      </w:r>
      <w:r>
        <w:rPr>
          <w:rFonts w:ascii="仿宋_GB2312" w:hAnsi="Times New Roman" w:cs="Times New Roman"/>
          <w:kern w:val="0"/>
          <w:sz w:val="32"/>
          <w:szCs w:val="32"/>
          <w:lang w:bidi="en-US"/>
        </w:rPr>
        <w:t xml:space="preserve"> </w:t>
      </w:r>
    </w:p>
    <w:p>
      <w:pPr>
        <w:spacing w:line="480" w:lineRule="auto"/>
        <w:ind w:left="280" w:leftChars="100" w:firstLine="1091" w:firstLineChars="341"/>
        <w:jc w:val="left"/>
        <w:rPr>
          <w:rFonts w:hint="default" w:ascii="仿宋_GB2312" w:hAnsi="Times New Roman" w:eastAsia="仿宋_GB2312" w:cs="Times New Roman"/>
          <w:kern w:val="0"/>
          <w:sz w:val="32"/>
          <w:szCs w:val="32"/>
          <w:lang w:val="en-US" w:eastAsia="zh-CN" w:bidi="en-US"/>
        </w:rPr>
      </w:pPr>
      <w:r>
        <w:rPr>
          <w:rFonts w:hint="eastAsia" w:ascii="仿宋_GB2312" w:hAnsi="Times New Roman" w:cs="Times New Roman"/>
          <w:kern w:val="0"/>
          <w:sz w:val="32"/>
          <w:szCs w:val="32"/>
          <w:lang w:bidi="en-US"/>
        </w:rPr>
        <w:t>主管部门：</w:t>
      </w:r>
      <w:r>
        <w:rPr>
          <w:rFonts w:hint="eastAsia" w:ascii="仿宋_GB2312" w:hAnsi="Times New Roman" w:cs="Times New Roman"/>
          <w:kern w:val="0"/>
          <w:sz w:val="32"/>
          <w:szCs w:val="32"/>
          <w:lang w:val="en-US" w:eastAsia="zh-CN" w:bidi="en-US"/>
        </w:rPr>
        <w:t>乌鲁木齐市教育局</w:t>
      </w:r>
    </w:p>
    <w:p>
      <w:pPr>
        <w:spacing w:line="480" w:lineRule="auto"/>
        <w:ind w:firstLine="1411" w:firstLineChars="441"/>
        <w:jc w:val="left"/>
        <w:rPr>
          <w:rFonts w:ascii="仿宋_GB2312" w:hAnsi="Times New Roman" w:cs="Times New Roman"/>
          <w:kern w:val="0"/>
          <w:sz w:val="32"/>
          <w:szCs w:val="32"/>
          <w:lang w:bidi="en-US"/>
        </w:rPr>
      </w:pPr>
    </w:p>
    <w:p>
      <w:pPr>
        <w:spacing w:line="480" w:lineRule="auto"/>
        <w:ind w:firstLine="0" w:firstLineChars="0"/>
        <w:rPr>
          <w:rFonts w:ascii="黑体" w:hAnsi="Times New Roman" w:eastAsia="黑体" w:cs="Times New Roman"/>
          <w:b/>
          <w:kern w:val="0"/>
          <w:sz w:val="32"/>
          <w:szCs w:val="32"/>
          <w:lang w:bidi="en-US"/>
        </w:rPr>
      </w:pPr>
    </w:p>
    <w:p>
      <w:pPr>
        <w:spacing w:line="480" w:lineRule="auto"/>
        <w:ind w:firstLine="0" w:firstLineChars="0"/>
        <w:rPr>
          <w:rFonts w:ascii="黑体" w:hAnsi="Times New Roman" w:eastAsia="黑体" w:cs="Times New Roman"/>
          <w:b/>
          <w:kern w:val="0"/>
          <w:sz w:val="32"/>
          <w:szCs w:val="32"/>
          <w:lang w:bidi="en-US"/>
        </w:rPr>
      </w:pPr>
    </w:p>
    <w:p>
      <w:pPr>
        <w:spacing w:line="480" w:lineRule="auto"/>
        <w:ind w:firstLine="0" w:firstLineChars="0"/>
        <w:jc w:val="center"/>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2023年0</w:t>
      </w:r>
      <w:r>
        <w:rPr>
          <w:rFonts w:ascii="仿宋_GB2312" w:hAnsi="Times New Roman" w:cs="Times New Roman"/>
          <w:kern w:val="0"/>
          <w:sz w:val="32"/>
          <w:szCs w:val="32"/>
          <w:lang w:bidi="en-US"/>
        </w:rPr>
        <w:t>4</w:t>
      </w:r>
      <w:r>
        <w:rPr>
          <w:rFonts w:hint="eastAsia" w:ascii="仿宋_GB2312" w:hAnsi="Times New Roman" w:cs="Times New Roman"/>
          <w:kern w:val="0"/>
          <w:sz w:val="32"/>
          <w:szCs w:val="32"/>
          <w:lang w:bidi="en-US"/>
        </w:rPr>
        <w:t>月</w:t>
      </w:r>
    </w:p>
    <w:p>
      <w:pPr>
        <w:spacing w:line="480" w:lineRule="auto"/>
        <w:ind w:firstLine="0" w:firstLineChars="0"/>
        <w:jc w:val="center"/>
        <w:rPr>
          <w:rFonts w:ascii="仿宋_GB2312" w:hAnsi="Times New Roman" w:cs="Times New Roman"/>
          <w:kern w:val="0"/>
          <w:sz w:val="32"/>
          <w:szCs w:val="32"/>
          <w:lang w:bidi="en-US"/>
        </w:rPr>
      </w:pPr>
    </w:p>
    <w:p>
      <w:pPr>
        <w:tabs>
          <w:tab w:val="left" w:pos="3324"/>
        </w:tabs>
        <w:spacing w:line="480" w:lineRule="auto"/>
        <w:ind w:firstLine="0" w:firstLineChars="0"/>
        <w:rPr>
          <w:rFonts w:ascii="仿宋_GB2312" w:hAnsi="Times New Roman" w:cs="Times New Roman"/>
          <w:kern w:val="0"/>
          <w:sz w:val="32"/>
          <w:szCs w:val="32"/>
          <w:lang w:bidi="en-US"/>
        </w:rPr>
      </w:pPr>
      <w:r>
        <w:rPr>
          <w:rFonts w:ascii="仿宋_GB2312" w:hAnsi="Times New Roman" w:cs="Times New Roman"/>
          <w:kern w:val="0"/>
          <w:sz w:val="32"/>
          <w:szCs w:val="32"/>
          <w:lang w:bidi="en-US"/>
        </w:rPr>
        <w:tab/>
      </w:r>
    </w:p>
    <w:p>
      <w:pPr>
        <w:ind w:firstLine="640"/>
        <w:rPr>
          <w:rFonts w:ascii="仿宋_GB2312" w:hAnsi="Times New Roman" w:cs="Times New Roman"/>
          <w:kern w:val="0"/>
          <w:sz w:val="32"/>
          <w:szCs w:val="32"/>
          <w:lang w:bidi="en-US"/>
        </w:rPr>
      </w:pPr>
    </w:p>
    <w:sdt>
      <w:sdtPr>
        <w:rPr>
          <w:rFonts w:ascii="Calibri" w:hAnsi="Calibri" w:eastAsia="仿宋_GB2312" w:cs="黑体"/>
          <w:color w:val="auto"/>
          <w:kern w:val="2"/>
          <w:sz w:val="28"/>
          <w:szCs w:val="22"/>
          <w:lang w:val="zh-CN"/>
        </w:rPr>
        <w:id w:val="-1822651860"/>
        <w:docPartObj>
          <w:docPartGallery w:val="Table of Contents"/>
          <w:docPartUnique/>
        </w:docPartObj>
      </w:sdtPr>
      <w:sdtEndPr>
        <w:rPr>
          <w:rFonts w:ascii="Calibri" w:hAnsi="Calibri" w:eastAsia="仿宋_GB2312" w:cs="黑体"/>
          <w:b/>
          <w:bCs/>
          <w:color w:val="auto"/>
          <w:kern w:val="2"/>
          <w:sz w:val="28"/>
          <w:szCs w:val="22"/>
          <w:lang w:val="zh-CN"/>
        </w:rPr>
      </w:sdtEndPr>
      <w:sdtContent>
        <w:p>
          <w:pPr>
            <w:pStyle w:val="29"/>
            <w:ind w:firstLine="560"/>
            <w:jc w:val="center"/>
          </w:pPr>
          <w:r>
            <w:rPr>
              <w:lang w:val="zh-CN"/>
            </w:rPr>
            <w:t>目录</w:t>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TOC \o "1-3" \h \z \u </w:instrText>
          </w:r>
          <w:r>
            <w:fldChar w:fldCharType="separate"/>
          </w:r>
          <w:r>
            <w:fldChar w:fldCharType="begin"/>
          </w:r>
          <w:r>
            <w:instrText xml:space="preserve"> HYPERLINK \l "_Toc165277220" </w:instrText>
          </w:r>
          <w:r>
            <w:fldChar w:fldCharType="separate"/>
          </w:r>
          <w:r>
            <w:rPr>
              <w:rStyle w:val="18"/>
              <w:rFonts w:hint="eastAsia" w:ascii="仿宋" w:hAnsi="仿宋" w:eastAsia="仿宋"/>
              <w:lang w:bidi="en-US"/>
            </w:rPr>
            <w:t>一、基本情况</w:t>
          </w:r>
          <w:r>
            <w:tab/>
          </w:r>
          <w:r>
            <w:fldChar w:fldCharType="begin"/>
          </w:r>
          <w:r>
            <w:instrText xml:space="preserve"> PAGEREF _Toc165277220 \h </w:instrText>
          </w:r>
          <w:r>
            <w:fldChar w:fldCharType="separate"/>
          </w:r>
          <w:r>
            <w:t>1</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"_Toc165277221" </w:instrText>
          </w:r>
          <w:r>
            <w:fldChar w:fldCharType="separate"/>
          </w:r>
          <w:r>
            <w:rPr>
              <w:rStyle w:val="18"/>
              <w:rFonts w:hint="eastAsia" w:ascii="仿宋" w:hAnsi="仿宋" w:eastAsia="仿宋"/>
              <w:lang w:bidi="en-US"/>
            </w:rPr>
            <w:t>（一）项目概况：</w:t>
          </w:r>
          <w:r>
            <w:tab/>
          </w:r>
          <w:r>
            <w:fldChar w:fldCharType="begin"/>
          </w:r>
          <w:r>
            <w:instrText xml:space="preserve"> PAGEREF _Toc165277221 \h </w:instrText>
          </w:r>
          <w:r>
            <w:fldChar w:fldCharType="separate"/>
          </w:r>
          <w:r>
            <w:t>1</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"_Toc165277222" </w:instrText>
          </w:r>
          <w:r>
            <w:fldChar w:fldCharType="separate"/>
          </w:r>
          <w:r>
            <w:rPr>
              <w:rStyle w:val="18"/>
            </w:rPr>
            <w:t>1</w:t>
          </w:r>
          <w:r>
            <w:rPr>
              <w:rStyle w:val="18"/>
              <w:rFonts w:hint="eastAsia"/>
            </w:rPr>
            <w:t>．项目背景、主要内容及实施情况</w:t>
          </w:r>
          <w:r>
            <w:tab/>
          </w:r>
          <w:r>
            <w:fldChar w:fldCharType="begin"/>
          </w:r>
          <w:r>
            <w:instrText xml:space="preserve"> PAGEREF _Toc165277222 \h </w:instrText>
          </w:r>
          <w:r>
            <w:fldChar w:fldCharType="separate"/>
          </w:r>
          <w:r>
            <w:t>1</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"_Toc165277223" </w:instrText>
          </w:r>
          <w:r>
            <w:fldChar w:fldCharType="separate"/>
          </w:r>
          <w:r>
            <w:rPr>
              <w:rStyle w:val="18"/>
            </w:rPr>
            <w:t>2.</w:t>
          </w:r>
          <w:r>
            <w:rPr>
              <w:rStyle w:val="18"/>
              <w:rFonts w:hint="eastAsia"/>
            </w:rPr>
            <w:t>资金投入和使用情况</w:t>
          </w:r>
          <w:r>
            <w:tab/>
          </w:r>
          <w:r>
            <w:fldChar w:fldCharType="begin"/>
          </w:r>
          <w:r>
            <w:instrText xml:space="preserve"> PAGEREF _Toc165277223 \h </w:instrText>
          </w:r>
          <w:r>
            <w:fldChar w:fldCharType="separate"/>
          </w:r>
          <w:r>
            <w:t>1</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"_Toc165277224" </w:instrText>
          </w:r>
          <w:r>
            <w:fldChar w:fldCharType="separate"/>
          </w:r>
          <w:r>
            <w:rPr>
              <w:rStyle w:val="18"/>
              <w:rFonts w:hint="eastAsia" w:ascii="仿宋" w:hAnsi="仿宋" w:eastAsia="仿宋"/>
              <w:lang w:bidi="en-US"/>
            </w:rPr>
            <w:t>（二）项目绩效目标：</w:t>
          </w:r>
          <w:r>
            <w:tab/>
          </w:r>
          <w:r>
            <w:fldChar w:fldCharType="begin"/>
          </w:r>
          <w:r>
            <w:instrText xml:space="preserve"> PAGEREF _Toc165277224 \h </w:instrText>
          </w:r>
          <w:r>
            <w:fldChar w:fldCharType="separate"/>
          </w:r>
          <w:r>
            <w:t>1</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"_Toc165277225" </w:instrText>
          </w:r>
          <w:r>
            <w:fldChar w:fldCharType="separate"/>
          </w:r>
          <w:r>
            <w:rPr>
              <w:rStyle w:val="18"/>
              <w:rFonts w:hint="eastAsia" w:ascii="仿宋" w:hAnsi="仿宋" w:eastAsia="仿宋"/>
              <w:lang w:bidi="en-US"/>
            </w:rPr>
            <w:t>二、绩效评价工作开展情况</w:t>
          </w:r>
          <w:r>
            <w:tab/>
          </w:r>
          <w:r>
            <w:fldChar w:fldCharType="begin"/>
          </w:r>
          <w:r>
            <w:instrText xml:space="preserve"> PAGEREF _Toc165277225 \h </w:instrText>
          </w:r>
          <w:r>
            <w:fldChar w:fldCharType="separate"/>
          </w:r>
          <w:r>
            <w:t>2</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"_Toc165277226" </w:instrText>
          </w:r>
          <w:r>
            <w:fldChar w:fldCharType="separate"/>
          </w:r>
          <w:r>
            <w:rPr>
              <w:rStyle w:val="18"/>
              <w:rFonts w:hint="eastAsia" w:ascii="仿宋" w:hAnsi="仿宋" w:eastAsia="仿宋"/>
              <w:lang w:bidi="en-US"/>
            </w:rPr>
            <w:t>（一）绩效评价目的、对象和范围</w:t>
          </w:r>
          <w:r>
            <w:tab/>
          </w:r>
          <w:r>
            <w:fldChar w:fldCharType="begin"/>
          </w:r>
          <w:r>
            <w:instrText xml:space="preserve"> PAGEREF _Toc165277226 \h </w:instrText>
          </w:r>
          <w:r>
            <w:fldChar w:fldCharType="separate"/>
          </w:r>
          <w:r>
            <w:t>2</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"_Toc165277227" </w:instrText>
          </w:r>
          <w:r>
            <w:fldChar w:fldCharType="separate"/>
          </w:r>
          <w:r>
            <w:rPr>
              <w:rStyle w:val="18"/>
            </w:rPr>
            <w:t>1.</w:t>
          </w:r>
          <w:r>
            <w:rPr>
              <w:rStyle w:val="18"/>
              <w:rFonts w:hint="eastAsia"/>
            </w:rPr>
            <w:t>绩效评价完整性</w:t>
          </w:r>
          <w:r>
            <w:tab/>
          </w:r>
          <w:r>
            <w:fldChar w:fldCharType="begin"/>
          </w:r>
          <w:r>
            <w:instrText xml:space="preserve"> PAGEREF _Toc165277227 \h </w:instrText>
          </w:r>
          <w:r>
            <w:fldChar w:fldCharType="separate"/>
          </w:r>
          <w:r>
            <w:t>2</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"_Toc165277228" </w:instrText>
          </w:r>
          <w:r>
            <w:fldChar w:fldCharType="separate"/>
          </w:r>
          <w:r>
            <w:rPr>
              <w:rStyle w:val="18"/>
            </w:rPr>
            <w:t>2.</w:t>
          </w:r>
          <w:r>
            <w:rPr>
              <w:rStyle w:val="18"/>
              <w:rFonts w:hint="eastAsia"/>
            </w:rPr>
            <w:t>评价目的</w:t>
          </w:r>
          <w:r>
            <w:tab/>
          </w:r>
          <w:r>
            <w:fldChar w:fldCharType="begin"/>
          </w:r>
          <w:r>
            <w:instrText xml:space="preserve"> PAGEREF _Toc165277228 \h </w:instrText>
          </w:r>
          <w:r>
            <w:fldChar w:fldCharType="separate"/>
          </w:r>
          <w:r>
            <w:t>3</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"_Toc165277229" </w:instrText>
          </w:r>
          <w:r>
            <w:fldChar w:fldCharType="separate"/>
          </w:r>
          <w:r>
            <w:rPr>
              <w:rStyle w:val="18"/>
            </w:rPr>
            <w:t>3.</w:t>
          </w:r>
          <w:r>
            <w:rPr>
              <w:rStyle w:val="18"/>
              <w:rFonts w:hint="eastAsia"/>
            </w:rPr>
            <w:t>评价对象</w:t>
          </w:r>
          <w:r>
            <w:tab/>
          </w:r>
          <w:r>
            <w:fldChar w:fldCharType="begin"/>
          </w:r>
          <w:r>
            <w:instrText xml:space="preserve"> PAGEREF _Toc165277229 \h </w:instrText>
          </w:r>
          <w:r>
            <w:fldChar w:fldCharType="separate"/>
          </w:r>
          <w:r>
            <w:t>3</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"_Toc165277230" </w:instrText>
          </w:r>
          <w:r>
            <w:fldChar w:fldCharType="separate"/>
          </w:r>
          <w:r>
            <w:rPr>
              <w:rStyle w:val="18"/>
            </w:rPr>
            <w:t>4.</w:t>
          </w:r>
          <w:r>
            <w:rPr>
              <w:rStyle w:val="18"/>
              <w:rFonts w:hint="eastAsia"/>
            </w:rPr>
            <w:t>绩效评价范围</w:t>
          </w:r>
          <w:r>
            <w:tab/>
          </w:r>
          <w:r>
            <w:fldChar w:fldCharType="begin"/>
          </w:r>
          <w:r>
            <w:instrText xml:space="preserve"> PAGEREF _Toc165277230 \h </w:instrText>
          </w:r>
          <w:r>
            <w:fldChar w:fldCharType="separate"/>
          </w:r>
          <w:r>
            <w:t>3</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"_Toc165277231" </w:instrText>
          </w:r>
          <w:r>
            <w:fldChar w:fldCharType="separate"/>
          </w:r>
          <w:r>
            <w:rPr>
              <w:rStyle w:val="18"/>
              <w:rFonts w:hint="eastAsia" w:ascii="仿宋" w:hAnsi="仿宋" w:eastAsia="仿宋"/>
              <w:lang w:bidi="en-US"/>
            </w:rPr>
            <w:t>（二）绩效评价原则、指标体系、方法及标准</w:t>
          </w:r>
          <w:r>
            <w:tab/>
          </w:r>
          <w:r>
            <w:fldChar w:fldCharType="begin"/>
          </w:r>
          <w:r>
            <w:instrText xml:space="preserve"> PAGEREF _Toc165277231 \h </w:instrText>
          </w:r>
          <w:r>
            <w:fldChar w:fldCharType="separate"/>
          </w:r>
          <w:r>
            <w:t>4</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"_Toc165277232" </w:instrText>
          </w:r>
          <w:r>
            <w:fldChar w:fldCharType="separate"/>
          </w:r>
          <w:r>
            <w:rPr>
              <w:rStyle w:val="18"/>
            </w:rPr>
            <w:t>1.</w:t>
          </w:r>
          <w:r>
            <w:rPr>
              <w:rStyle w:val="18"/>
              <w:rFonts w:hint="eastAsia"/>
            </w:rPr>
            <w:t>评价原则</w:t>
          </w:r>
          <w:r>
            <w:tab/>
          </w:r>
          <w:r>
            <w:fldChar w:fldCharType="begin"/>
          </w:r>
          <w:r>
            <w:instrText xml:space="preserve"> PAGEREF _Toc165277232 \h </w:instrText>
          </w:r>
          <w:r>
            <w:fldChar w:fldCharType="separate"/>
          </w:r>
          <w:r>
            <w:t>4</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"_Toc165277233" </w:instrText>
          </w:r>
          <w:r>
            <w:fldChar w:fldCharType="separate"/>
          </w:r>
          <w:r>
            <w:rPr>
              <w:rStyle w:val="18"/>
            </w:rPr>
            <w:t>2.</w:t>
          </w:r>
          <w:r>
            <w:rPr>
              <w:rStyle w:val="18"/>
              <w:rFonts w:hint="eastAsia"/>
            </w:rPr>
            <w:t>评价指标体系</w:t>
          </w:r>
          <w:r>
            <w:tab/>
          </w:r>
          <w:r>
            <w:fldChar w:fldCharType="begin"/>
          </w:r>
          <w:r>
            <w:instrText xml:space="preserve"> PAGEREF _Toc165277233 \h </w:instrText>
          </w:r>
          <w:r>
            <w:fldChar w:fldCharType="separate"/>
          </w:r>
          <w:r>
            <w:t>4</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"_Toc165277234" </w:instrText>
          </w:r>
          <w:r>
            <w:fldChar w:fldCharType="separate"/>
          </w:r>
          <w:r>
            <w:rPr>
              <w:rStyle w:val="18"/>
            </w:rPr>
            <w:t>3.</w:t>
          </w:r>
          <w:r>
            <w:rPr>
              <w:rStyle w:val="18"/>
              <w:rFonts w:hint="eastAsia"/>
            </w:rPr>
            <w:t>评价方法</w:t>
          </w:r>
          <w:r>
            <w:tab/>
          </w:r>
          <w:r>
            <w:fldChar w:fldCharType="begin"/>
          </w:r>
          <w:r>
            <w:instrText xml:space="preserve"> PAGEREF _Toc165277234 \h </w:instrText>
          </w:r>
          <w:r>
            <w:fldChar w:fldCharType="separate"/>
          </w:r>
          <w:r>
            <w:t>12</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"_Toc165277235" </w:instrText>
          </w:r>
          <w:r>
            <w:fldChar w:fldCharType="separate"/>
          </w:r>
          <w:r>
            <w:rPr>
              <w:rStyle w:val="18"/>
            </w:rPr>
            <w:t>4.</w:t>
          </w:r>
          <w:r>
            <w:rPr>
              <w:rStyle w:val="18"/>
              <w:rFonts w:hint="eastAsia"/>
            </w:rPr>
            <w:t>评价标准</w:t>
          </w:r>
          <w:r>
            <w:tab/>
          </w:r>
          <w:r>
            <w:fldChar w:fldCharType="begin"/>
          </w:r>
          <w:r>
            <w:instrText xml:space="preserve"> PAGEREF _Toc165277235 \h </w:instrText>
          </w:r>
          <w:r>
            <w:fldChar w:fldCharType="separate"/>
          </w:r>
          <w:r>
            <w:t>13</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"_Toc165277236" </w:instrText>
          </w:r>
          <w:r>
            <w:fldChar w:fldCharType="separate"/>
          </w:r>
          <w:r>
            <w:rPr>
              <w:rStyle w:val="18"/>
              <w:rFonts w:hint="eastAsia" w:ascii="仿宋" w:hAnsi="仿宋" w:eastAsia="仿宋"/>
              <w:lang w:bidi="en-US"/>
            </w:rPr>
            <w:t>（三）绩效评价工作过程</w:t>
          </w:r>
          <w:r>
            <w:tab/>
          </w:r>
          <w:r>
            <w:fldChar w:fldCharType="begin"/>
          </w:r>
          <w:r>
            <w:instrText xml:space="preserve"> PAGEREF _Toc165277236 \h </w:instrText>
          </w:r>
          <w:r>
            <w:fldChar w:fldCharType="separate"/>
          </w:r>
          <w:r>
            <w:t>13</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"_Toc165277237" </w:instrText>
          </w:r>
          <w:r>
            <w:fldChar w:fldCharType="separate"/>
          </w:r>
          <w:r>
            <w:rPr>
              <w:rStyle w:val="18"/>
              <w:rFonts w:hint="eastAsia" w:ascii="仿宋" w:hAnsi="仿宋" w:eastAsia="仿宋"/>
              <w:lang w:bidi="en-US"/>
            </w:rPr>
            <w:t>三、综合评价情况及评价结论</w:t>
          </w:r>
          <w:r>
            <w:tab/>
          </w:r>
          <w:r>
            <w:fldChar w:fldCharType="begin"/>
          </w:r>
          <w:r>
            <w:instrText xml:space="preserve"> PAGEREF _Toc165277237 \h </w:instrText>
          </w:r>
          <w:r>
            <w:fldChar w:fldCharType="separate"/>
          </w:r>
          <w:r>
            <w:t>14</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"_Toc165277238" </w:instrText>
          </w:r>
          <w:r>
            <w:fldChar w:fldCharType="separate"/>
          </w:r>
          <w:r>
            <w:rPr>
              <w:rStyle w:val="18"/>
              <w:rFonts w:hint="eastAsia" w:ascii="仿宋" w:hAnsi="仿宋" w:eastAsia="仿宋"/>
              <w:lang w:bidi="en-US"/>
            </w:rPr>
            <w:t>（一）评价结论</w:t>
          </w:r>
          <w:r>
            <w:tab/>
          </w:r>
          <w:r>
            <w:fldChar w:fldCharType="begin"/>
          </w:r>
          <w:r>
            <w:instrText xml:space="preserve"> PAGEREF _Toc165277238 \h </w:instrText>
          </w:r>
          <w:r>
            <w:fldChar w:fldCharType="separate"/>
          </w:r>
          <w:r>
            <w:t>14</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"_Toc165277239" </w:instrText>
          </w:r>
          <w:r>
            <w:fldChar w:fldCharType="separate"/>
          </w:r>
          <w:r>
            <w:rPr>
              <w:rStyle w:val="18"/>
              <w:rFonts w:hint="eastAsia" w:ascii="仿宋" w:hAnsi="仿宋" w:eastAsia="仿宋"/>
              <w:lang w:bidi="en-US"/>
            </w:rPr>
            <w:t>（二）主要绩效</w:t>
          </w:r>
          <w:r>
            <w:tab/>
          </w:r>
          <w:r>
            <w:fldChar w:fldCharType="begin"/>
          </w:r>
          <w:r>
            <w:instrText xml:space="preserve"> PAGEREF _Toc165277239 \h </w:instrText>
          </w:r>
          <w:r>
            <w:fldChar w:fldCharType="separate"/>
          </w:r>
          <w:r>
            <w:t>15</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"_Toc165277240" </w:instrText>
          </w:r>
          <w:r>
            <w:fldChar w:fldCharType="separate"/>
          </w:r>
          <w:r>
            <w:rPr>
              <w:rStyle w:val="18"/>
              <w:rFonts w:hint="eastAsia" w:ascii="仿宋" w:hAnsi="仿宋" w:eastAsia="仿宋"/>
              <w:lang w:bidi="en-US"/>
            </w:rPr>
            <w:t>四、绩效评价指标分析</w:t>
          </w:r>
          <w:r>
            <w:tab/>
          </w:r>
          <w:r>
            <w:fldChar w:fldCharType="begin"/>
          </w:r>
          <w:r>
            <w:instrText xml:space="preserve"> PAGEREF _Toc165277240 \h </w:instrText>
          </w:r>
          <w:r>
            <w:fldChar w:fldCharType="separate"/>
          </w:r>
          <w:r>
            <w:t>15</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"_Toc165277241" </w:instrText>
          </w:r>
          <w:r>
            <w:fldChar w:fldCharType="separate"/>
          </w:r>
          <w:r>
            <w:rPr>
              <w:rStyle w:val="18"/>
              <w:rFonts w:hint="eastAsia" w:ascii="仿宋" w:hAnsi="仿宋" w:eastAsia="仿宋"/>
              <w:lang w:bidi="en-US"/>
            </w:rPr>
            <w:t>（一）项目决策情况</w:t>
          </w:r>
          <w:r>
            <w:tab/>
          </w:r>
          <w:r>
            <w:fldChar w:fldCharType="begin"/>
          </w:r>
          <w:r>
            <w:instrText xml:space="preserve"> PAGEREF _Toc165277241 \h </w:instrText>
          </w:r>
          <w:r>
            <w:fldChar w:fldCharType="separate"/>
          </w:r>
          <w:r>
            <w:t>15</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"_Toc165277242" </w:instrText>
          </w:r>
          <w:r>
            <w:fldChar w:fldCharType="separate"/>
          </w:r>
          <w:r>
            <w:rPr>
              <w:rStyle w:val="18"/>
            </w:rPr>
            <w:t>1.</w:t>
          </w:r>
          <w:r>
            <w:rPr>
              <w:rStyle w:val="18"/>
              <w:rFonts w:hint="eastAsia"/>
            </w:rPr>
            <w:t>项目立项</w:t>
          </w:r>
          <w:r>
            <w:tab/>
          </w:r>
          <w:r>
            <w:fldChar w:fldCharType="begin"/>
          </w:r>
          <w:r>
            <w:instrText xml:space="preserve"> PAGEREF _Toc165277242 \h </w:instrText>
          </w:r>
          <w:r>
            <w:fldChar w:fldCharType="separate"/>
          </w:r>
          <w:r>
            <w:t>16</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"_Toc165277243" </w:instrText>
          </w:r>
          <w:r>
            <w:fldChar w:fldCharType="separate"/>
          </w:r>
          <w:r>
            <w:rPr>
              <w:rStyle w:val="18"/>
            </w:rPr>
            <w:t>2.</w:t>
          </w:r>
          <w:r>
            <w:rPr>
              <w:rStyle w:val="18"/>
              <w:rFonts w:hint="eastAsia"/>
            </w:rPr>
            <w:t>绩效目标</w:t>
          </w:r>
          <w:r>
            <w:tab/>
          </w:r>
          <w:r>
            <w:fldChar w:fldCharType="begin"/>
          </w:r>
          <w:r>
            <w:instrText xml:space="preserve"> PAGEREF _Toc165277243 \h </w:instrText>
          </w:r>
          <w:r>
            <w:fldChar w:fldCharType="separate"/>
          </w:r>
          <w:r>
            <w:t>16</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"_Toc165277244" </w:instrText>
          </w:r>
          <w:r>
            <w:fldChar w:fldCharType="separate"/>
          </w:r>
          <w:r>
            <w:rPr>
              <w:rStyle w:val="18"/>
            </w:rPr>
            <w:t>3.</w:t>
          </w:r>
          <w:r>
            <w:rPr>
              <w:rStyle w:val="18"/>
              <w:rFonts w:hint="eastAsia"/>
            </w:rPr>
            <w:t>资金投入</w:t>
          </w:r>
          <w:r>
            <w:tab/>
          </w:r>
          <w:r>
            <w:fldChar w:fldCharType="begin"/>
          </w:r>
          <w:r>
            <w:instrText xml:space="preserve"> PAGEREF _Toc165277244 \h </w:instrText>
          </w:r>
          <w:r>
            <w:fldChar w:fldCharType="separate"/>
          </w:r>
          <w:r>
            <w:t>17</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"_Toc165277245" </w:instrText>
          </w:r>
          <w:r>
            <w:fldChar w:fldCharType="separate"/>
          </w:r>
          <w:r>
            <w:rPr>
              <w:rStyle w:val="18"/>
              <w:rFonts w:hint="eastAsia" w:ascii="仿宋" w:hAnsi="仿宋" w:eastAsia="仿宋"/>
              <w:lang w:bidi="en-US"/>
            </w:rPr>
            <w:t>（二）项目过程情况</w:t>
          </w:r>
          <w:r>
            <w:tab/>
          </w:r>
          <w:r>
            <w:fldChar w:fldCharType="begin"/>
          </w:r>
          <w:r>
            <w:instrText xml:space="preserve"> PAGEREF _Toc165277245 \h </w:instrText>
          </w:r>
          <w:r>
            <w:fldChar w:fldCharType="separate"/>
          </w:r>
          <w:r>
            <w:t>17</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"_Toc165277246" </w:instrText>
          </w:r>
          <w:r>
            <w:fldChar w:fldCharType="separate"/>
          </w:r>
          <w:r>
            <w:rPr>
              <w:rStyle w:val="18"/>
            </w:rPr>
            <w:t>1.</w:t>
          </w:r>
          <w:r>
            <w:rPr>
              <w:rStyle w:val="18"/>
              <w:rFonts w:hint="eastAsia"/>
            </w:rPr>
            <w:t>资金管理</w:t>
          </w:r>
          <w:r>
            <w:tab/>
          </w:r>
          <w:r>
            <w:fldChar w:fldCharType="begin"/>
          </w:r>
          <w:r>
            <w:instrText xml:space="preserve"> PAGEREF _Toc165277246 \h </w:instrText>
          </w:r>
          <w:r>
            <w:fldChar w:fldCharType="separate"/>
          </w:r>
          <w:r>
            <w:t>17</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"_Toc165277247" </w:instrText>
          </w:r>
          <w:r>
            <w:fldChar w:fldCharType="separate"/>
          </w:r>
          <w:r>
            <w:rPr>
              <w:rStyle w:val="18"/>
            </w:rPr>
            <w:t>2.</w:t>
          </w:r>
          <w:r>
            <w:rPr>
              <w:rStyle w:val="18"/>
              <w:rFonts w:hint="eastAsia"/>
            </w:rPr>
            <w:t>组织实施</w:t>
          </w:r>
          <w:r>
            <w:tab/>
          </w:r>
          <w:r>
            <w:fldChar w:fldCharType="begin"/>
          </w:r>
          <w:r>
            <w:instrText xml:space="preserve"> PAGEREF _Toc165277247 \h </w:instrText>
          </w:r>
          <w:r>
            <w:fldChar w:fldCharType="separate"/>
          </w:r>
          <w:r>
            <w:t>18</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"_Toc165277248" </w:instrText>
          </w:r>
          <w:r>
            <w:fldChar w:fldCharType="separate"/>
          </w:r>
          <w:r>
            <w:rPr>
              <w:rStyle w:val="18"/>
              <w:rFonts w:hint="eastAsia" w:ascii="仿宋" w:hAnsi="仿宋" w:eastAsia="仿宋"/>
              <w:lang w:bidi="en-US"/>
            </w:rPr>
            <w:t>（三）项目产出情况</w:t>
          </w:r>
          <w:r>
            <w:tab/>
          </w:r>
          <w:r>
            <w:fldChar w:fldCharType="begin"/>
          </w:r>
          <w:r>
            <w:instrText xml:space="preserve"> PAGEREF _Toc165277248 \h </w:instrText>
          </w:r>
          <w:r>
            <w:fldChar w:fldCharType="separate"/>
          </w:r>
          <w:r>
            <w:t>18</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"_Toc165277249" </w:instrText>
          </w:r>
          <w:r>
            <w:fldChar w:fldCharType="separate"/>
          </w:r>
          <w:r>
            <w:rPr>
              <w:rStyle w:val="18"/>
            </w:rPr>
            <w:t>1.</w:t>
          </w:r>
          <w:r>
            <w:rPr>
              <w:rStyle w:val="18"/>
              <w:rFonts w:hint="eastAsia"/>
            </w:rPr>
            <w:t>产出数量</w:t>
          </w:r>
          <w:r>
            <w:tab/>
          </w:r>
          <w:r>
            <w:fldChar w:fldCharType="begin"/>
          </w:r>
          <w:r>
            <w:instrText xml:space="preserve"> PAGEREF _Toc165277249 \h </w:instrText>
          </w:r>
          <w:r>
            <w:fldChar w:fldCharType="separate"/>
          </w:r>
          <w:r>
            <w:t>18</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"_Toc165277250" </w:instrText>
          </w:r>
          <w:r>
            <w:fldChar w:fldCharType="separate"/>
          </w:r>
          <w:r>
            <w:rPr>
              <w:rStyle w:val="18"/>
            </w:rPr>
            <w:t>2.</w:t>
          </w:r>
          <w:r>
            <w:rPr>
              <w:rStyle w:val="18"/>
              <w:rFonts w:hint="eastAsia"/>
            </w:rPr>
            <w:t>产出质量</w:t>
          </w:r>
          <w:r>
            <w:tab/>
          </w:r>
          <w:r>
            <w:fldChar w:fldCharType="begin"/>
          </w:r>
          <w:r>
            <w:instrText xml:space="preserve"> PAGEREF _Toc165277250 \h </w:instrText>
          </w:r>
          <w:r>
            <w:fldChar w:fldCharType="separate"/>
          </w:r>
          <w:r>
            <w:t>19</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"_Toc165277251" </w:instrText>
          </w:r>
          <w:r>
            <w:fldChar w:fldCharType="separate"/>
          </w:r>
          <w:r>
            <w:rPr>
              <w:rStyle w:val="18"/>
            </w:rPr>
            <w:t>3.</w:t>
          </w:r>
          <w:r>
            <w:rPr>
              <w:rStyle w:val="18"/>
              <w:rFonts w:hint="eastAsia"/>
            </w:rPr>
            <w:t>产出时效</w:t>
          </w:r>
          <w:r>
            <w:tab/>
          </w:r>
          <w:r>
            <w:fldChar w:fldCharType="begin"/>
          </w:r>
          <w:r>
            <w:instrText xml:space="preserve"> PAGEREF _Toc165277251 \h </w:instrText>
          </w:r>
          <w:r>
            <w:fldChar w:fldCharType="separate"/>
          </w:r>
          <w:r>
            <w:t>19</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"_Toc165277252" </w:instrText>
          </w:r>
          <w:r>
            <w:fldChar w:fldCharType="separate"/>
          </w:r>
          <w:r>
            <w:rPr>
              <w:rStyle w:val="18"/>
            </w:rPr>
            <w:t>4.</w:t>
          </w:r>
          <w:r>
            <w:rPr>
              <w:rStyle w:val="18"/>
              <w:rFonts w:hint="eastAsia"/>
            </w:rPr>
            <w:t>产出成本</w:t>
          </w:r>
          <w:r>
            <w:tab/>
          </w:r>
          <w:r>
            <w:fldChar w:fldCharType="begin"/>
          </w:r>
          <w:r>
            <w:instrText xml:space="preserve"> PAGEREF _Toc165277252 \h </w:instrText>
          </w:r>
          <w:r>
            <w:fldChar w:fldCharType="separate"/>
          </w:r>
          <w:r>
            <w:t>19</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"_Toc165277253" </w:instrText>
          </w:r>
          <w:r>
            <w:fldChar w:fldCharType="separate"/>
          </w:r>
          <w:r>
            <w:rPr>
              <w:rStyle w:val="18"/>
              <w:rFonts w:hint="eastAsia" w:ascii="仿宋" w:hAnsi="仿宋" w:eastAsia="仿宋"/>
              <w:lang w:bidi="en-US"/>
            </w:rPr>
            <w:t>（四）项目效益情况</w:t>
          </w:r>
          <w:r>
            <w:tab/>
          </w:r>
          <w:r>
            <w:fldChar w:fldCharType="begin"/>
          </w:r>
          <w:r>
            <w:instrText xml:space="preserve"> PAGEREF _Toc165277253 \h </w:instrText>
          </w:r>
          <w:r>
            <w:fldChar w:fldCharType="separate"/>
          </w:r>
          <w:r>
            <w:t>19</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"_Toc165277254" </w:instrText>
          </w:r>
          <w:r>
            <w:fldChar w:fldCharType="separate"/>
          </w:r>
          <w:r>
            <w:rPr>
              <w:rStyle w:val="18"/>
            </w:rPr>
            <w:t>1.</w:t>
          </w:r>
          <w:r>
            <w:rPr>
              <w:rStyle w:val="18"/>
              <w:rFonts w:hint="eastAsia"/>
            </w:rPr>
            <w:t>项目效益</w:t>
          </w:r>
          <w:r>
            <w:tab/>
          </w:r>
          <w:r>
            <w:fldChar w:fldCharType="begin"/>
          </w:r>
          <w:r>
            <w:instrText xml:space="preserve"> PAGEREF _Toc165277254 \h </w:instrText>
          </w:r>
          <w:r>
            <w:fldChar w:fldCharType="separate"/>
          </w:r>
          <w:r>
            <w:t>19</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"_Toc165277255" </w:instrText>
          </w:r>
          <w:r>
            <w:fldChar w:fldCharType="separate"/>
          </w:r>
          <w:r>
            <w:rPr>
              <w:rStyle w:val="18"/>
            </w:rPr>
            <w:t xml:space="preserve">2. </w:t>
          </w:r>
          <w:r>
            <w:rPr>
              <w:rStyle w:val="18"/>
              <w:rFonts w:hint="eastAsia"/>
            </w:rPr>
            <w:t>满意度指标完成情况分析</w:t>
          </w:r>
          <w:r>
            <w:tab/>
          </w:r>
          <w:r>
            <w:fldChar w:fldCharType="begin"/>
          </w:r>
          <w:r>
            <w:instrText xml:space="preserve"> PAGEREF _Toc165277255 \h </w:instrText>
          </w:r>
          <w:r>
            <w:fldChar w:fldCharType="separate"/>
          </w:r>
          <w:r>
            <w:t>20</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"_Toc165277256" </w:instrText>
          </w:r>
          <w:r>
            <w:fldChar w:fldCharType="separate"/>
          </w:r>
          <w:r>
            <w:rPr>
              <w:rStyle w:val="18"/>
              <w:rFonts w:hint="eastAsia" w:ascii="仿宋" w:hAnsi="仿宋" w:eastAsia="仿宋"/>
              <w:lang w:bidi="en-US"/>
            </w:rPr>
            <w:t>五、主要经验及做法、存在的问题及原因分析</w:t>
          </w:r>
          <w:r>
            <w:tab/>
          </w:r>
          <w:r>
            <w:fldChar w:fldCharType="begin"/>
          </w:r>
          <w:r>
            <w:instrText xml:space="preserve"> PAGEREF _Toc165277256 \h </w:instrText>
          </w:r>
          <w:r>
            <w:fldChar w:fldCharType="separate"/>
          </w:r>
          <w:r>
            <w:t>20</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"_Toc165277257" </w:instrText>
          </w:r>
          <w:r>
            <w:fldChar w:fldCharType="separate"/>
          </w:r>
          <w:r>
            <w:rPr>
              <w:rStyle w:val="18"/>
              <w:rFonts w:hint="eastAsia" w:ascii="仿宋" w:hAnsi="仿宋" w:eastAsia="仿宋"/>
              <w:lang w:bidi="en-US"/>
            </w:rPr>
            <w:t>（一）主要经验及做法</w:t>
          </w:r>
          <w:r>
            <w:tab/>
          </w:r>
          <w:r>
            <w:fldChar w:fldCharType="begin"/>
          </w:r>
          <w:r>
            <w:instrText xml:space="preserve"> PAGEREF _Toc165277257 \h </w:instrText>
          </w:r>
          <w:r>
            <w:fldChar w:fldCharType="separate"/>
          </w:r>
          <w:r>
            <w:t>20</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"_Toc165277258" </w:instrText>
          </w:r>
          <w:r>
            <w:fldChar w:fldCharType="separate"/>
          </w:r>
          <w:r>
            <w:rPr>
              <w:rStyle w:val="18"/>
              <w:rFonts w:hint="eastAsia" w:ascii="仿宋" w:hAnsi="仿宋" w:eastAsia="仿宋"/>
              <w:lang w:bidi="en-US"/>
            </w:rPr>
            <w:t>（二）存在的问题及原因分析</w:t>
          </w:r>
          <w:r>
            <w:tab/>
          </w:r>
          <w:r>
            <w:fldChar w:fldCharType="begin"/>
          </w:r>
          <w:r>
            <w:instrText xml:space="preserve"> PAGEREF _Toc165277258 \h </w:instrText>
          </w:r>
          <w:r>
            <w:fldChar w:fldCharType="separate"/>
          </w:r>
          <w:r>
            <w:t>20</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"_Toc165277259" </w:instrText>
          </w:r>
          <w:r>
            <w:fldChar w:fldCharType="separate"/>
          </w:r>
          <w:r>
            <w:rPr>
              <w:rStyle w:val="18"/>
              <w:rFonts w:hint="eastAsia" w:ascii="仿宋" w:hAnsi="仿宋" w:eastAsia="仿宋"/>
              <w:lang w:bidi="en-US"/>
            </w:rPr>
            <w:t>六、有关建议</w:t>
          </w:r>
          <w:r>
            <w:tab/>
          </w:r>
          <w:r>
            <w:fldChar w:fldCharType="begin"/>
          </w:r>
          <w:r>
            <w:instrText xml:space="preserve"> PAGEREF _Toc165277259 \h </w:instrText>
          </w:r>
          <w:r>
            <w:fldChar w:fldCharType="separate"/>
          </w:r>
          <w:r>
            <w:t>21</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"_Toc165277260" </w:instrText>
          </w:r>
          <w:r>
            <w:fldChar w:fldCharType="separate"/>
          </w:r>
          <w:r>
            <w:rPr>
              <w:rStyle w:val="18"/>
              <w:rFonts w:hint="eastAsia" w:ascii="仿宋" w:hAnsi="仿宋" w:eastAsia="仿宋"/>
              <w:lang w:bidi="en-US"/>
            </w:rPr>
            <w:t>七、其他需要说明的问题</w:t>
          </w:r>
          <w:r>
            <w:tab/>
          </w:r>
          <w:r>
            <w:fldChar w:fldCharType="begin"/>
          </w:r>
          <w:r>
            <w:instrText xml:space="preserve"> PAGEREF _Toc165277260 \h </w:instrText>
          </w:r>
          <w:r>
            <w:fldChar w:fldCharType="separate"/>
          </w:r>
          <w:r>
            <w:t>21</w:t>
          </w:r>
          <w:r>
            <w:fldChar w:fldCharType="end"/>
          </w:r>
          <w:r>
            <w:fldChar w:fldCharType="end"/>
          </w:r>
        </w:p>
        <w:p>
          <w:pPr>
            <w:ind w:firstLine="562"/>
          </w:pPr>
          <w:r>
            <w:rPr>
              <w:b/>
              <w:bCs/>
              <w:lang w:val="zh-CN"/>
            </w:rPr>
            <w:fldChar w:fldCharType="end"/>
          </w:r>
        </w:p>
      </w:sdtContent>
    </w:sdt>
    <w:p>
      <w:pPr>
        <w:ind w:firstLine="598" w:firstLineChars="187"/>
        <w:rPr>
          <w:rFonts w:ascii="仿宋_GB2312" w:hAnsi="Times New Roman" w:cs="Times New Roman"/>
          <w:sz w:val="32"/>
          <w:szCs w:val="32"/>
          <w:lang w:bidi="en-US"/>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pPr>
        <w:pStyle w:val="2"/>
        <w:ind w:firstLine="0" w:firstLineChars="0"/>
        <w:jc w:val="left"/>
        <w:rPr>
          <w:rFonts w:ascii="仿宋" w:hAnsi="仿宋" w:eastAsia="仿宋"/>
          <w:sz w:val="36"/>
          <w:szCs w:val="36"/>
          <w:lang w:bidi="en-US"/>
        </w:rPr>
      </w:pPr>
      <w:bookmarkStart w:id="0" w:name="_Toc165277220"/>
      <w:bookmarkStart w:id="1" w:name="_Toc67911601"/>
      <w:r>
        <w:rPr>
          <w:rFonts w:hint="eastAsia" w:ascii="仿宋" w:hAnsi="仿宋" w:eastAsia="仿宋"/>
          <w:sz w:val="36"/>
          <w:szCs w:val="36"/>
          <w:lang w:bidi="en-US"/>
        </w:rPr>
        <w:t>一、基本情况</w:t>
      </w:r>
      <w:bookmarkEnd w:id="0"/>
      <w:bookmarkEnd w:id="1"/>
    </w:p>
    <w:p>
      <w:pPr>
        <w:pStyle w:val="3"/>
        <w:ind w:firstLine="643"/>
        <w:rPr>
          <w:rFonts w:ascii="仿宋" w:hAnsi="仿宋" w:eastAsia="仿宋"/>
          <w:lang w:bidi="en-US"/>
        </w:rPr>
      </w:pPr>
      <w:bookmarkStart w:id="2" w:name="_Toc165277221"/>
      <w:bookmarkStart w:id="3" w:name="_Toc67911602"/>
      <w:r>
        <w:rPr>
          <w:rFonts w:hint="eastAsia" w:ascii="仿宋" w:hAnsi="仿宋" w:eastAsia="仿宋"/>
          <w:lang w:bidi="en-US"/>
        </w:rPr>
        <w:t>（一）项目概况：</w:t>
      </w:r>
      <w:bookmarkEnd w:id="2"/>
      <w:bookmarkEnd w:id="3"/>
    </w:p>
    <w:p>
      <w:pPr>
        <w:pStyle w:val="4"/>
        <w:ind w:firstLine="643"/>
      </w:pPr>
      <w:bookmarkStart w:id="4" w:name="_Toc165277222"/>
      <w:r>
        <w:rPr>
          <w:rFonts w:hint="eastAsia"/>
        </w:rPr>
        <w:t>1．项目背景、主要内容及实施情况</w:t>
      </w:r>
      <w:bookmarkEnd w:id="4"/>
    </w:p>
    <w:p>
      <w:pPr>
        <w:spacing w:line="360" w:lineRule="auto"/>
        <w:ind w:firstLine="560"/>
        <w:rPr>
          <w:rFonts w:hint="eastAsia" w:ascii="仿宋_GB2312"/>
        </w:rPr>
      </w:pPr>
      <w:r>
        <w:rPr>
          <w:rFonts w:hint="eastAsia" w:ascii="仿宋_GB2312"/>
        </w:rPr>
        <w:t>该项目实施背景：</w:t>
      </w:r>
    </w:p>
    <w:p>
      <w:pPr>
        <w:spacing w:line="360" w:lineRule="auto"/>
        <w:ind w:firstLine="560"/>
        <w:rPr>
          <w:rFonts w:hint="eastAsia" w:ascii="仿宋_GB2312"/>
          <w:lang w:val="en-US" w:eastAsia="zh-CN"/>
        </w:rPr>
      </w:pPr>
      <w:r>
        <w:rPr>
          <w:rFonts w:hint="eastAsia" w:ascii="仿宋_GB2312"/>
        </w:rPr>
        <w:t>为满足</w:t>
      </w:r>
      <w:r>
        <w:rPr>
          <w:rFonts w:hint="eastAsia" w:ascii="仿宋_GB2312"/>
          <w:lang w:val="en-US" w:eastAsia="zh-CN"/>
        </w:rPr>
        <w:t>乌鲁木齐市第一中学</w:t>
      </w:r>
      <w:r>
        <w:rPr>
          <w:rFonts w:hint="eastAsia" w:ascii="仿宋_GB2312"/>
        </w:rPr>
        <w:t>河马泉校区开学后</w:t>
      </w:r>
      <w:r>
        <w:rPr>
          <w:rFonts w:hint="eastAsia" w:ascii="仿宋_GB2312"/>
          <w:lang w:val="en-US" w:eastAsia="zh-CN"/>
        </w:rPr>
        <w:t>正常的</w:t>
      </w:r>
      <w:r>
        <w:rPr>
          <w:rFonts w:hint="eastAsia" w:ascii="仿宋_GB2312"/>
        </w:rPr>
        <w:t>教学</w:t>
      </w:r>
      <w:r>
        <w:rPr>
          <w:rFonts w:hint="eastAsia" w:ascii="仿宋_GB2312"/>
          <w:lang w:val="en-US" w:eastAsia="zh-CN"/>
        </w:rPr>
        <w:t>需求</w:t>
      </w:r>
      <w:r>
        <w:rPr>
          <w:rFonts w:hint="eastAsia" w:ascii="仿宋_GB2312"/>
          <w:lang w:eastAsia="zh-CN"/>
        </w:rPr>
        <w:t>，</w:t>
      </w:r>
      <w:r>
        <w:rPr>
          <w:rFonts w:hint="eastAsia" w:ascii="仿宋_GB2312"/>
          <w:lang w:val="en-US" w:eastAsia="zh-CN"/>
        </w:rPr>
        <w:t>需要购置相关的教育教学设备以及辅助学校运行的设施设备。</w:t>
      </w:r>
    </w:p>
    <w:p>
      <w:pPr>
        <w:spacing w:line="360" w:lineRule="auto"/>
        <w:ind w:firstLine="560"/>
        <w:rPr>
          <w:rFonts w:ascii="仿宋_GB2312"/>
        </w:rPr>
      </w:pPr>
      <w:r>
        <w:rPr>
          <w:rFonts w:hint="eastAsia" w:ascii="仿宋_GB2312"/>
        </w:rPr>
        <w:t>北门校区、绿谷校区</w:t>
      </w:r>
      <w:r>
        <w:rPr>
          <w:rFonts w:hint="eastAsia" w:ascii="仿宋_GB2312"/>
          <w:lang w:val="en-US" w:eastAsia="zh-CN"/>
        </w:rPr>
        <w:t>经过长时间使用，部分教学设施设备无法满足现在的教学要求，根据现实情况需要对相应的教学设备进行升级和增加尤其是教师用电脑以及校区内安全设备以及信息发布设备</w:t>
      </w:r>
      <w:r>
        <w:rPr>
          <w:rFonts w:hint="eastAsia" w:ascii="仿宋_GB2312"/>
        </w:rPr>
        <w:t>。</w:t>
      </w:r>
      <w:r>
        <w:rPr>
          <w:rFonts w:hint="eastAsia" w:ascii="仿宋_GB2312"/>
          <w:lang w:val="en-US" w:eastAsia="zh-CN"/>
        </w:rPr>
        <w:t>最终达成</w:t>
      </w:r>
      <w:r>
        <w:rPr>
          <w:rFonts w:hint="eastAsia" w:ascii="仿宋_GB2312"/>
        </w:rPr>
        <w:t>提高办学质量，消除学校安全隐患，改善教育教学环境，</w:t>
      </w:r>
      <w:r>
        <w:rPr>
          <w:rFonts w:hint="eastAsia" w:ascii="仿宋_GB2312"/>
          <w:lang w:eastAsia="zh-CN"/>
        </w:rPr>
        <w:t>更好地为</w:t>
      </w:r>
      <w:r>
        <w:rPr>
          <w:rFonts w:hint="eastAsia" w:ascii="仿宋_GB2312"/>
        </w:rPr>
        <w:t>学生提供教育教学服务。</w:t>
      </w:r>
    </w:p>
    <w:p>
      <w:pPr>
        <w:spacing w:line="360" w:lineRule="auto"/>
        <w:ind w:firstLine="560"/>
        <w:rPr>
          <w:rFonts w:hint="eastAsia" w:cs="Calibri"/>
          <w:lang w:val="en-US" w:eastAsia="zh-CN"/>
        </w:rPr>
      </w:pPr>
      <w:r>
        <w:rPr>
          <w:rFonts w:ascii="仿宋_GB2312"/>
        </w:rPr>
        <w:t>项目</w:t>
      </w:r>
      <w:r>
        <w:rPr>
          <w:rFonts w:hint="eastAsia" w:ascii="仿宋_GB2312"/>
        </w:rPr>
        <w:t>2</w:t>
      </w:r>
      <w:r>
        <w:rPr>
          <w:rFonts w:ascii="仿宋_GB2312"/>
        </w:rPr>
        <w:t>023年的主要实施内容：</w:t>
      </w:r>
      <w:r>
        <w:rPr>
          <w:rFonts w:hint="eastAsia" w:ascii="仿宋_GB2312" w:hAnsi="仿宋_GB2312" w:eastAsia="仿宋_GB2312" w:cs="仿宋_GB2312"/>
        </w:rPr>
        <w:t>①</w:t>
      </w:r>
      <w:r>
        <w:rPr>
          <w:rFonts w:hint="eastAsia" w:ascii="仿宋_GB2312"/>
          <w:lang w:val="en-US" w:eastAsia="zh-CN"/>
        </w:rPr>
        <w:t>学生微机室</w:t>
      </w:r>
      <w:r>
        <w:rPr>
          <w:rFonts w:ascii="仿宋_GB2312"/>
        </w:rPr>
        <w:t>;</w:t>
      </w:r>
      <w:r>
        <w:rPr>
          <w:rFonts w:hint="eastAsia" w:ascii="仿宋_GB2312" w:hAnsi="仿宋_GB2312" w:eastAsia="仿宋_GB2312" w:cs="仿宋_GB2312"/>
        </w:rPr>
        <w:t>②</w:t>
      </w:r>
      <w:r>
        <w:rPr>
          <w:rFonts w:hint="eastAsia" w:ascii="仿宋_GB2312"/>
          <w:lang w:val="en-US" w:eastAsia="zh-CN"/>
        </w:rPr>
        <w:t>北门校区购置教师用电脑</w:t>
      </w:r>
      <w:r>
        <w:rPr>
          <w:rFonts w:ascii="仿宋_GB2312"/>
        </w:rPr>
        <w:t>;</w:t>
      </w:r>
      <w:r>
        <w:rPr>
          <w:rFonts w:hint="eastAsia" w:ascii="仿宋_GB2312" w:hAnsi="仿宋_GB2312" w:eastAsia="仿宋_GB2312" w:cs="仿宋_GB2312"/>
        </w:rPr>
        <w:t>③</w:t>
      </w:r>
      <w:r>
        <w:rPr>
          <w:rFonts w:hint="eastAsia" w:ascii="仿宋_GB2312"/>
          <w:lang w:val="en-US" w:eastAsia="zh-CN"/>
        </w:rPr>
        <w:t>购置LED显示屏项目；</w:t>
      </w:r>
      <w:r>
        <w:rPr>
          <w:rFonts w:hint="eastAsia" w:ascii="Calibri" w:hAnsi="Calibri" w:cs="Calibri"/>
          <w:lang w:val="en-US" w:eastAsia="zh-CN"/>
        </w:rPr>
        <w:t>④</w:t>
      </w:r>
      <w:r>
        <w:rPr>
          <w:rFonts w:hint="eastAsia" w:ascii="仿宋_GB2312"/>
          <w:lang w:val="en-US" w:eastAsia="zh-CN"/>
        </w:rPr>
        <w:t>绿谷校区购置视频监控及存储服务器扩容系统</w:t>
      </w:r>
      <w:r>
        <w:rPr>
          <w:rFonts w:hint="eastAsia" w:cs="Calibri"/>
          <w:lang w:val="en-US" w:eastAsia="zh-CN"/>
        </w:rPr>
        <w:t>；</w:t>
      </w:r>
      <w:r>
        <w:rPr>
          <w:rFonts w:hint="eastAsia" w:ascii="Calibri" w:hAnsi="Calibri" w:cs="Calibri"/>
          <w:lang w:val="en-US" w:eastAsia="zh-CN"/>
        </w:rPr>
        <w:t>⑤</w:t>
      </w:r>
      <w:r>
        <w:rPr>
          <w:rFonts w:hint="eastAsia" w:cs="Calibri"/>
          <w:lang w:val="en-US" w:eastAsia="zh-CN"/>
        </w:rPr>
        <w:t>河马泉校区设备采购；</w:t>
      </w:r>
    </w:p>
    <w:p>
      <w:pPr>
        <w:spacing w:line="360" w:lineRule="auto"/>
        <w:ind w:firstLine="560"/>
        <w:rPr>
          <w:rFonts w:hint="default" w:ascii="仿宋_GB2312"/>
          <w:highlight w:val="none"/>
          <w:lang w:val="en-US"/>
        </w:rPr>
      </w:pPr>
      <w:r>
        <w:rPr>
          <w:rFonts w:hint="eastAsia" w:ascii="仿宋_GB2312"/>
          <w:highlight w:val="none"/>
        </w:rPr>
        <w:t>2</w:t>
      </w:r>
      <w:r>
        <w:rPr>
          <w:rFonts w:ascii="仿宋_GB2312"/>
          <w:highlight w:val="none"/>
        </w:rPr>
        <w:t>023年</w:t>
      </w:r>
      <w:r>
        <w:rPr>
          <w:rFonts w:hint="eastAsia" w:ascii="仿宋_GB2312"/>
          <w:highlight w:val="none"/>
          <w:lang w:val="en-US" w:eastAsia="zh-CN"/>
        </w:rPr>
        <w:t>学生微机室、北门校区购置教师用电脑、购置LED显示屏项目、绿谷校区购置视频监控及存储服务器扩容系统</w:t>
      </w:r>
      <w:r>
        <w:rPr>
          <w:rFonts w:hint="eastAsia" w:cs="Calibri"/>
          <w:highlight w:val="none"/>
          <w:lang w:val="en-US" w:eastAsia="zh-CN"/>
        </w:rPr>
        <w:t>均已完成购置安装。河马泉校区设备采购中教学一体机设备、智慧校园综合平台、视频展示设备、窗帘采购、教学用课桌椅、办公家具、开放实验室均已完成招标并且进入实施阶段，另外天象馆设备、初中实验室仪器、校园文化建设因中央资金未到位无法执行，饮水机项目因投诉停止招标活动。</w:t>
      </w:r>
    </w:p>
    <w:p>
      <w:pPr>
        <w:pStyle w:val="4"/>
        <w:ind w:firstLine="643"/>
      </w:pPr>
      <w:bookmarkStart w:id="5" w:name="_Toc165277223"/>
      <w:r>
        <w:rPr>
          <w:rFonts w:hint="eastAsia"/>
        </w:rPr>
        <w:t>2</w:t>
      </w:r>
      <w:r>
        <w:t>.资金投入和使用情况</w:t>
      </w:r>
      <w:bookmarkEnd w:id="5"/>
    </w:p>
    <w:p>
      <w:pPr>
        <w:spacing w:line="360" w:lineRule="auto"/>
        <w:ind w:firstLine="560"/>
        <w:rPr>
          <w:rFonts w:hint="eastAsia" w:ascii="仿宋_GB2312" w:eastAsia="仿宋_GB2312"/>
          <w:highlight w:val="yellow"/>
          <w:lang w:eastAsia="zh-CN"/>
        </w:rPr>
      </w:pPr>
      <w:r>
        <w:rPr>
          <w:rFonts w:hint="eastAsia" w:ascii="仿宋_GB2312"/>
          <w:highlight w:val="yellow"/>
        </w:rPr>
        <w:t>该项目资金投入情况：经乌财科教【2023】2号文件批准，项目系2023年本级资金，共安排预算1801.16万元，为2023年年初预算批复项目</w:t>
      </w:r>
      <w:r>
        <w:rPr>
          <w:rFonts w:hint="eastAsia" w:ascii="仿宋_GB2312"/>
          <w:highlight w:val="yellow"/>
          <w:lang w:eastAsia="zh-CN"/>
        </w:rPr>
        <w:t>。</w:t>
      </w:r>
    </w:p>
    <w:p>
      <w:pPr>
        <w:spacing w:line="360" w:lineRule="auto"/>
        <w:ind w:firstLine="560"/>
        <w:rPr>
          <w:rFonts w:ascii="仿宋_GB2312"/>
          <w:highlight w:val="yellow"/>
        </w:rPr>
      </w:pPr>
      <w:r>
        <w:rPr>
          <w:rFonts w:hint="eastAsia" w:ascii="仿宋_GB2312"/>
        </w:rPr>
        <w:t>该项目资金使用情况：</w:t>
      </w:r>
      <w:r>
        <w:rPr>
          <w:rFonts w:hint="eastAsia" w:ascii="仿宋_GB2312" w:hAnsi="Calibri" w:eastAsia="仿宋_GB2312" w:cs="黑体"/>
          <w:kern w:val="2"/>
          <w:sz w:val="28"/>
          <w:szCs w:val="28"/>
          <w:lang w:val="en-US" w:eastAsia="zh-CN" w:bidi="ar-SA"/>
        </w:rPr>
        <w:t>2023年9月财政资金拨付到位，向新疆宇丰科技有限责任公司支付北门校区教师用电脑、学生计算机教室机房、LED显示屏项目首付款614596；2023年9月财政资金拨付到位，向新疆吉瑞祥科技股份有限公司支付河马泉校区教学办公家具设备购置首付款568991元；2023年9月财政资金拨付到位，向新疆冠马奔腾家具有限责任公司支付河马泉校区教学办公家具采购首付款490000元；2023年11月财政资金拨付到位，向新疆鹏森科技股份有限公司支付河马泉校区教学办公家具设备采购款813000元；2023年12月财政资金拨付到位，向新疆时空信息技术有限公司支付绿谷校区视频监控设备及存储服务器扩容设备购置项目款393150元。</w:t>
      </w:r>
    </w:p>
    <w:p>
      <w:pPr>
        <w:pStyle w:val="3"/>
        <w:ind w:firstLine="643"/>
        <w:rPr>
          <w:rFonts w:ascii="仿宋" w:hAnsi="仿宋" w:eastAsia="仿宋"/>
          <w:lang w:bidi="en-US"/>
        </w:rPr>
      </w:pPr>
      <w:bookmarkStart w:id="6" w:name="_Toc67911603"/>
      <w:bookmarkStart w:id="7" w:name="_Toc165277224"/>
      <w:r>
        <w:rPr>
          <w:rFonts w:hint="eastAsia" w:ascii="仿宋" w:hAnsi="仿宋" w:eastAsia="仿宋"/>
          <w:lang w:bidi="en-US"/>
        </w:rPr>
        <w:t>（二）项目绩效目标：</w:t>
      </w:r>
      <w:bookmarkEnd w:id="6"/>
      <w:bookmarkEnd w:id="7"/>
    </w:p>
    <w:p>
      <w:pPr>
        <w:spacing w:line="360" w:lineRule="auto"/>
        <w:ind w:firstLine="560"/>
        <w:rPr>
          <w:rFonts w:ascii="仿宋_GB2312" w:hAnsi="仿宋"/>
          <w:szCs w:val="28"/>
        </w:rPr>
      </w:pPr>
      <w:r>
        <w:rPr>
          <w:rFonts w:hint="eastAsia" w:ascii="仿宋_GB2312" w:hAnsi="仿宋"/>
          <w:szCs w:val="28"/>
        </w:rPr>
        <w:t>本项目依据《中共中央 国务院关于全面实施预算绩效管理的意见》（中发〔2018〕</w:t>
      </w:r>
      <w:r>
        <w:rPr>
          <w:rFonts w:ascii="仿宋_GB2312" w:hAnsi="仿宋"/>
          <w:szCs w:val="28"/>
        </w:rPr>
        <w:t>34</w:t>
      </w:r>
      <w:r>
        <w:rPr>
          <w:rFonts w:hint="eastAsia" w:ascii="仿宋_GB2312" w:hAnsi="仿宋"/>
          <w:szCs w:val="28"/>
        </w:rPr>
        <w:t>号）、《关于印发&lt;乌鲁木齐市本级部门预算绩效目标管理暂行办法</w:t>
      </w:r>
      <w:r>
        <w:rPr>
          <w:rFonts w:ascii="仿宋_GB2312" w:hAnsi="仿宋"/>
          <w:szCs w:val="28"/>
        </w:rPr>
        <w:t>&gt;</w:t>
      </w:r>
      <w:r>
        <w:rPr>
          <w:rFonts w:hint="eastAsia" w:ascii="仿宋_GB2312" w:hAnsi="仿宋"/>
          <w:szCs w:val="28"/>
        </w:rPr>
        <w:t>的通知》（乌财预</w:t>
      </w:r>
      <w:bookmarkStart w:id="8" w:name="_Hlk67566397"/>
      <w:r>
        <w:rPr>
          <w:rFonts w:hint="eastAsia" w:ascii="仿宋_GB2312" w:hAnsi="仿宋"/>
          <w:szCs w:val="28"/>
        </w:rPr>
        <w:t>〔2018〕</w:t>
      </w:r>
      <w:r>
        <w:rPr>
          <w:rFonts w:ascii="仿宋_GB2312" w:hAnsi="仿宋"/>
          <w:szCs w:val="28"/>
        </w:rPr>
        <w:t>5</w:t>
      </w:r>
      <w:r>
        <w:rPr>
          <w:rFonts w:hint="eastAsia" w:ascii="仿宋_GB2312" w:hAnsi="仿宋"/>
          <w:szCs w:val="28"/>
        </w:rPr>
        <w:t>6号</w:t>
      </w:r>
      <w:bookmarkEnd w:id="8"/>
      <w:r>
        <w:rPr>
          <w:rFonts w:hint="eastAsia" w:ascii="仿宋_GB2312" w:hAnsi="仿宋"/>
          <w:szCs w:val="28"/>
        </w:rPr>
        <w:t>）、《关于做好2</w:t>
      </w:r>
      <w:r>
        <w:rPr>
          <w:rFonts w:ascii="仿宋_GB2312" w:hAnsi="仿宋"/>
          <w:szCs w:val="28"/>
        </w:rPr>
        <w:t>019</w:t>
      </w:r>
      <w:r>
        <w:rPr>
          <w:rFonts w:hint="eastAsia" w:ascii="仿宋_GB2312" w:hAnsi="仿宋"/>
          <w:szCs w:val="28"/>
        </w:rPr>
        <w:t>年部门预算项目支出绩效目标管理有关事宜的通知》（乌财预〔20</w:t>
      </w:r>
      <w:r>
        <w:rPr>
          <w:rFonts w:ascii="仿宋_GB2312" w:hAnsi="仿宋"/>
          <w:szCs w:val="28"/>
        </w:rPr>
        <w:t>18</w:t>
      </w:r>
      <w:r>
        <w:rPr>
          <w:rFonts w:hint="eastAsia" w:ascii="仿宋_GB2312" w:hAnsi="仿宋"/>
          <w:szCs w:val="28"/>
        </w:rPr>
        <w:t>〕</w:t>
      </w:r>
      <w:r>
        <w:rPr>
          <w:rFonts w:ascii="仿宋_GB2312" w:hAnsi="仿宋"/>
          <w:szCs w:val="28"/>
        </w:rPr>
        <w:t>76</w:t>
      </w:r>
      <w:r>
        <w:rPr>
          <w:rFonts w:hint="eastAsia" w:ascii="仿宋_GB2312" w:hAnsi="仿宋"/>
          <w:szCs w:val="28"/>
        </w:rPr>
        <w:t>号）和《项目支出绩效评价管理办法》（财预〔20</w:t>
      </w:r>
      <w:r>
        <w:rPr>
          <w:rFonts w:ascii="仿宋_GB2312" w:hAnsi="仿宋"/>
          <w:szCs w:val="28"/>
        </w:rPr>
        <w:t>20</w:t>
      </w:r>
      <w:r>
        <w:rPr>
          <w:rFonts w:hint="eastAsia" w:ascii="仿宋_GB2312" w:hAnsi="仿宋"/>
          <w:szCs w:val="28"/>
        </w:rPr>
        <w:t>〕</w:t>
      </w:r>
      <w:r>
        <w:rPr>
          <w:rFonts w:ascii="仿宋_GB2312" w:hAnsi="仿宋"/>
          <w:szCs w:val="28"/>
        </w:rPr>
        <w:t>10</w:t>
      </w:r>
      <w:r>
        <w:rPr>
          <w:rFonts w:hint="eastAsia" w:ascii="仿宋_GB2312" w:hAnsi="仿宋"/>
          <w:szCs w:val="28"/>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360" w:lineRule="auto"/>
        <w:ind w:firstLine="560"/>
        <w:rPr>
          <w:rFonts w:ascii="仿宋_GB2312" w:hAnsi="仿宋"/>
          <w:szCs w:val="28"/>
        </w:rPr>
      </w:pPr>
      <w:r>
        <w:rPr>
          <w:rFonts w:hint="eastAsia" w:ascii="仿宋_GB2312" w:hAnsi="仿宋"/>
          <w:szCs w:val="28"/>
        </w:rPr>
        <w:t>该项目为</w:t>
      </w:r>
      <w:r>
        <w:rPr>
          <w:rFonts w:ascii="仿宋_GB2312" w:hAnsi="仿宋"/>
          <w:szCs w:val="28"/>
        </w:rPr>
        <w:t>当年一次性项目。</w:t>
      </w:r>
    </w:p>
    <w:p>
      <w:pPr>
        <w:spacing w:line="360" w:lineRule="auto"/>
        <w:ind w:firstLine="560"/>
        <w:rPr>
          <w:rFonts w:hint="default" w:ascii="仿宋_GB2312" w:hAnsi="仿宋" w:eastAsia="仿宋_GB2312"/>
          <w:szCs w:val="28"/>
          <w:lang w:val="en-US" w:eastAsia="zh-CN"/>
        </w:rPr>
      </w:pPr>
      <w:r>
        <w:rPr>
          <w:rFonts w:hint="eastAsia" w:ascii="仿宋_GB2312" w:hAnsi="仿宋"/>
          <w:szCs w:val="28"/>
        </w:rPr>
        <w:t>该项目总体绩效目标：</w:t>
      </w:r>
      <w:r>
        <w:rPr>
          <w:rFonts w:hint="eastAsia" w:ascii="仿宋_GB2312" w:hAnsi="仿宋"/>
          <w:szCs w:val="28"/>
          <w:lang w:val="en-US" w:eastAsia="zh-CN"/>
        </w:rPr>
        <w:t>完成学生微机室1间，北门校区购置教师用电脑60台，购置LED显示屏一块，</w:t>
      </w:r>
      <w:r>
        <w:rPr>
          <w:rFonts w:hint="eastAsia" w:ascii="仿宋_GB2312"/>
          <w:lang w:val="en-US" w:eastAsia="zh-CN"/>
        </w:rPr>
        <w:t>绿谷校区购置视频监控及存储服务器扩容系统1套，</w:t>
      </w:r>
      <w:r>
        <w:rPr>
          <w:rFonts w:hint="eastAsia" w:ascii="仿宋_GB2312" w:hAnsi="仿宋"/>
          <w:szCs w:val="28"/>
          <w:lang w:val="en-US" w:eastAsia="zh-CN"/>
        </w:rPr>
        <w:t>河马泉校区采购项目主要为中央资金配套项目，主要需完成河马泉校区设备购置项目成本1604.88万元，现完成1167.4955万元包括</w:t>
      </w:r>
      <w:r>
        <w:rPr>
          <w:rFonts w:hint="eastAsia" w:cs="Calibri"/>
          <w:lang w:val="en-US" w:eastAsia="zh-CN"/>
        </w:rPr>
        <w:t>教学一体机设备、智慧校园综合平台、视频展示设备、窗帘采购、教学用课桌椅、办公家具、开放实验室均已完成招标并实施，另外天象馆设备、初中实验室仪器、校园文化建设因中央资金未到位无法执行，饮水机项目因投诉停止招标活动。</w:t>
      </w:r>
    </w:p>
    <w:p>
      <w:pPr>
        <w:pStyle w:val="2"/>
        <w:ind w:firstLine="0" w:firstLineChars="0"/>
        <w:jc w:val="left"/>
        <w:rPr>
          <w:rFonts w:ascii="仿宋" w:hAnsi="仿宋" w:eastAsia="仿宋"/>
          <w:sz w:val="36"/>
          <w:szCs w:val="36"/>
          <w:lang w:bidi="en-US"/>
        </w:rPr>
      </w:pPr>
      <w:bookmarkStart w:id="9" w:name="_Toc165277225"/>
      <w:bookmarkStart w:id="10" w:name="_Toc67911604"/>
      <w:r>
        <w:rPr>
          <w:rFonts w:hint="eastAsia" w:ascii="仿宋" w:hAnsi="仿宋" w:eastAsia="仿宋"/>
          <w:sz w:val="36"/>
          <w:szCs w:val="36"/>
          <w:lang w:bidi="en-US"/>
        </w:rPr>
        <w:t>二、绩效评价工作开展情况</w:t>
      </w:r>
      <w:bookmarkEnd w:id="9"/>
      <w:bookmarkEnd w:id="10"/>
    </w:p>
    <w:p>
      <w:pPr>
        <w:pStyle w:val="3"/>
        <w:ind w:firstLine="643"/>
        <w:rPr>
          <w:rFonts w:ascii="仿宋" w:hAnsi="仿宋" w:eastAsia="仿宋"/>
          <w:lang w:bidi="en-US"/>
        </w:rPr>
      </w:pPr>
      <w:bookmarkStart w:id="11" w:name="_Toc67911605"/>
      <w:bookmarkStart w:id="12" w:name="_Toc165277226"/>
      <w:r>
        <w:rPr>
          <w:rFonts w:hint="eastAsia" w:ascii="仿宋" w:hAnsi="仿宋" w:eastAsia="仿宋"/>
          <w:lang w:bidi="en-US"/>
        </w:rPr>
        <w:t>（一）绩效评价目的、对象和范围</w:t>
      </w:r>
      <w:bookmarkEnd w:id="11"/>
      <w:bookmarkEnd w:id="12"/>
    </w:p>
    <w:p>
      <w:pPr>
        <w:pStyle w:val="4"/>
        <w:ind w:firstLine="643"/>
      </w:pPr>
      <w:bookmarkStart w:id="13" w:name="_Toc165277227"/>
      <w:r>
        <w:rPr>
          <w:rFonts w:hint="eastAsia"/>
        </w:rPr>
        <w:t>1</w:t>
      </w:r>
      <w:r>
        <w:t>.绩效评价完整性</w:t>
      </w:r>
      <w:bookmarkEnd w:id="13"/>
    </w:p>
    <w:p>
      <w:pPr>
        <w:spacing w:line="360" w:lineRule="auto"/>
        <w:ind w:firstLine="560"/>
        <w:rPr>
          <w:rFonts w:hint="default" w:ascii="仿宋_GB2312" w:hAnsi="仿宋" w:eastAsia="仿宋_GB2312"/>
          <w:szCs w:val="28"/>
          <w:lang w:val="en-US" w:eastAsia="zh-CN"/>
        </w:rPr>
      </w:pPr>
      <w:r>
        <w:rPr>
          <w:rFonts w:hint="eastAsia" w:ascii="仿宋_GB2312" w:hAnsi="仿宋"/>
          <w:szCs w:val="28"/>
          <w:highlight w:val="yellow"/>
          <w:lang w:val="en-US" w:eastAsia="zh-CN"/>
        </w:rPr>
        <w:t>绩效设定学生微机室1间最为主要绩效目标可以证明该项目主要完成情况，设置绩效目标北门校区购置教师用电脑60台可满足北门现需求的教师电脑数量，购置LED显示屏一块以及</w:t>
      </w:r>
      <w:r>
        <w:rPr>
          <w:rFonts w:hint="eastAsia" w:ascii="仿宋_GB2312"/>
          <w:highlight w:val="yellow"/>
          <w:lang w:val="en-US" w:eastAsia="zh-CN"/>
        </w:rPr>
        <w:t>绿谷校区购置视频监控及存储服务器扩容系统1套可以满足学校对宣传以及安全需求的考虑，</w:t>
      </w:r>
      <w:r>
        <w:rPr>
          <w:rFonts w:hint="eastAsia" w:ascii="仿宋_GB2312" w:hAnsi="仿宋"/>
          <w:szCs w:val="28"/>
          <w:highlight w:val="yellow"/>
          <w:lang w:val="en-US" w:eastAsia="zh-CN"/>
        </w:rPr>
        <w:t>河马泉校区采购项目主要为中央资金配套项目，其中内容主要是为了满足河马泉校区正常运行和使用.</w:t>
      </w:r>
    </w:p>
    <w:p>
      <w:pPr>
        <w:spacing w:line="360" w:lineRule="auto"/>
        <w:ind w:firstLine="560"/>
        <w:rPr>
          <w:rFonts w:hint="eastAsia" w:ascii="仿宋_GB2312" w:hAnsi="仿宋"/>
          <w:szCs w:val="28"/>
          <w:lang w:val="en-US" w:eastAsia="zh-CN"/>
        </w:rPr>
      </w:pPr>
      <w:r>
        <w:rPr>
          <w:rFonts w:hint="eastAsia" w:cs="Calibri"/>
          <w:lang w:val="en-US" w:eastAsia="zh-CN"/>
        </w:rPr>
        <w:t>教学一体机设备、智慧校园综合平台、视频展示设备、窗帘采购、教学用课桌椅、办公家具、开放实验室均通过招标采购方式采购</w:t>
      </w:r>
      <w:r>
        <w:rPr>
          <w:rFonts w:hint="eastAsia" w:ascii="仿宋_GB2312" w:hAnsi="仿宋"/>
          <w:szCs w:val="28"/>
        </w:rPr>
        <w:t>。</w:t>
      </w:r>
      <w:r>
        <w:rPr>
          <w:rFonts w:hint="eastAsia" w:ascii="仿宋_GB2312" w:hAnsi="仿宋"/>
          <w:szCs w:val="28"/>
          <w:lang w:val="en-US" w:eastAsia="zh-CN"/>
        </w:rPr>
        <w:t>满意度评价来源于问卷调查。</w:t>
      </w:r>
    </w:p>
    <w:p>
      <w:pPr>
        <w:spacing w:line="360" w:lineRule="auto"/>
        <w:ind w:firstLine="560"/>
        <w:rPr>
          <w:rFonts w:hint="default" w:ascii="仿宋_GB2312" w:hAnsi="仿宋"/>
          <w:szCs w:val="28"/>
          <w:lang w:val="en-US" w:eastAsia="zh-CN"/>
        </w:rPr>
      </w:pPr>
      <w:r>
        <w:rPr>
          <w:rFonts w:hint="eastAsia" w:ascii="仿宋_GB2312" w:hAnsi="仿宋"/>
          <w:szCs w:val="28"/>
          <w:lang w:val="en-US" w:eastAsia="zh-CN"/>
        </w:rPr>
        <w:t>项目的目标、范围和要求能够通过绩效评价指标体系完整的体现。</w:t>
      </w:r>
    </w:p>
    <w:p>
      <w:pPr>
        <w:pStyle w:val="4"/>
        <w:ind w:firstLine="643"/>
      </w:pPr>
      <w:bookmarkStart w:id="14" w:name="_Toc165277228"/>
      <w:r>
        <w:t>2</w:t>
      </w:r>
      <w:r>
        <w:rPr>
          <w:rFonts w:hint="eastAsia"/>
        </w:rPr>
        <w:t>.评价目的</w:t>
      </w:r>
      <w:bookmarkEnd w:id="14"/>
    </w:p>
    <w:p>
      <w:pPr>
        <w:spacing w:line="360" w:lineRule="auto"/>
        <w:ind w:firstLine="560"/>
        <w:rPr>
          <w:rFonts w:ascii="仿宋_GB2312"/>
          <w:b/>
          <w:bCs/>
        </w:rPr>
      </w:pPr>
      <w:r>
        <w:rPr>
          <w:rFonts w:hint="eastAsia" w:ascii="仿宋_GB231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绩效目标、资金</w:t>
      </w:r>
      <w:r>
        <w:rPr>
          <w:rFonts w:hint="eastAsia" w:ascii="仿宋_GB2312"/>
          <w:lang w:val="en-US" w:eastAsia="zh-CN"/>
        </w:rPr>
        <w:t>成本</w:t>
      </w:r>
      <w:r>
        <w:rPr>
          <w:rFonts w:hint="eastAsia" w:ascii="仿宋_GB2312"/>
        </w:rPr>
        <w:t>、组织实施、数量指标、质量指标、时效指标、成本指标和效益指标等进行深入调研和分析，进一步了</w:t>
      </w:r>
      <w:r>
        <w:rPr>
          <w:rFonts w:hint="eastAsia" w:ascii="仿宋_GB2312"/>
          <w:highlight w:val="none"/>
        </w:rPr>
        <w:t>解财政委托审计费项目实</w:t>
      </w:r>
      <w:r>
        <w:rPr>
          <w:rFonts w:hint="eastAsia" w:ascii="仿宋_GB2312"/>
        </w:rPr>
        <w:t>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pStyle w:val="4"/>
        <w:ind w:firstLine="643"/>
      </w:pPr>
      <w:bookmarkStart w:id="15" w:name="_Toc165277229"/>
      <w:r>
        <w:t>3</w:t>
      </w:r>
      <w:r>
        <w:rPr>
          <w:rFonts w:hint="eastAsia"/>
        </w:rPr>
        <w:t>.评价对象</w:t>
      </w:r>
      <w:bookmarkEnd w:id="15"/>
    </w:p>
    <w:p>
      <w:pPr>
        <w:spacing w:line="360" w:lineRule="auto"/>
        <w:ind w:firstLine="560"/>
        <w:rPr>
          <w:rFonts w:hint="default" w:ascii="仿宋_GB2312" w:eastAsia="仿宋_GB2312"/>
          <w:lang w:val="en-US" w:eastAsia="zh-CN"/>
        </w:rPr>
      </w:pPr>
      <w:r>
        <w:rPr>
          <w:rFonts w:hint="eastAsia" w:ascii="仿宋_GB2312"/>
        </w:rPr>
        <w:t>（1）绩效评价的对象：</w:t>
      </w:r>
      <w:r>
        <w:rPr>
          <w:rFonts w:hint="eastAsia" w:ascii="仿宋_GB2312"/>
          <w:lang w:val="en-US" w:eastAsia="zh-CN"/>
        </w:rPr>
        <w:t>设备购置项目</w:t>
      </w:r>
    </w:p>
    <w:p>
      <w:pPr>
        <w:pStyle w:val="4"/>
        <w:ind w:firstLine="643"/>
      </w:pPr>
      <w:bookmarkStart w:id="16" w:name="_Toc165277230"/>
      <w:r>
        <w:rPr>
          <w:rFonts w:hint="eastAsia"/>
        </w:rPr>
        <w:t>4</w:t>
      </w:r>
      <w:r>
        <w:t>.</w:t>
      </w:r>
      <w:r>
        <w:rPr>
          <w:rFonts w:hint="eastAsia"/>
        </w:rPr>
        <w:t>绩效评价范围</w:t>
      </w:r>
      <w:bookmarkEnd w:id="16"/>
    </w:p>
    <w:p>
      <w:pPr>
        <w:spacing w:line="360" w:lineRule="auto"/>
        <w:ind w:firstLine="560"/>
        <w:rPr>
          <w:rFonts w:ascii="仿宋_GB2312"/>
        </w:rPr>
      </w:pPr>
      <w:r>
        <w:rPr>
          <w:rFonts w:ascii="仿宋_GB2312"/>
        </w:rPr>
        <w:t>1.</w:t>
      </w:r>
      <w:r>
        <w:rPr>
          <w:rFonts w:hint="eastAsia" w:ascii="仿宋_GB2312"/>
        </w:rPr>
        <w:t>时间范围：2</w:t>
      </w:r>
      <w:r>
        <w:rPr>
          <w:rFonts w:ascii="仿宋_GB2312"/>
        </w:rPr>
        <w:t>023</w:t>
      </w:r>
      <w:r>
        <w:rPr>
          <w:rFonts w:hint="eastAsia" w:ascii="仿宋_GB2312"/>
        </w:rPr>
        <w:t>年1月1日至2</w:t>
      </w:r>
      <w:r>
        <w:rPr>
          <w:rFonts w:ascii="仿宋_GB2312"/>
        </w:rPr>
        <w:t>023</w:t>
      </w:r>
      <w:r>
        <w:rPr>
          <w:rFonts w:hint="eastAsia" w:ascii="仿宋_GB2312"/>
        </w:rPr>
        <w:t>年1</w:t>
      </w:r>
      <w:r>
        <w:rPr>
          <w:rFonts w:ascii="仿宋_GB2312"/>
        </w:rPr>
        <w:t>2</w:t>
      </w:r>
      <w:r>
        <w:rPr>
          <w:rFonts w:hint="eastAsia" w:ascii="仿宋_GB2312"/>
        </w:rPr>
        <w:t>月3</w:t>
      </w:r>
      <w:r>
        <w:rPr>
          <w:rFonts w:ascii="仿宋_GB2312"/>
        </w:rPr>
        <w:t>1</w:t>
      </w:r>
      <w:r>
        <w:rPr>
          <w:rFonts w:hint="eastAsia" w:ascii="仿宋_GB2312"/>
        </w:rPr>
        <w:t>日。</w:t>
      </w:r>
    </w:p>
    <w:p>
      <w:pPr>
        <w:spacing w:line="360" w:lineRule="auto"/>
        <w:ind w:firstLine="560"/>
        <w:rPr>
          <w:rFonts w:hint="eastAsia" w:cs="Calibri"/>
          <w:lang w:val="en-US" w:eastAsia="zh-CN"/>
        </w:rPr>
      </w:pPr>
      <w:r>
        <w:rPr>
          <w:rFonts w:ascii="仿宋_GB2312"/>
        </w:rPr>
        <w:t>2.</w:t>
      </w:r>
      <w:r>
        <w:rPr>
          <w:rFonts w:hint="eastAsia" w:ascii="仿宋_GB2312"/>
        </w:rPr>
        <w:t>项目范围：</w:t>
      </w:r>
      <w:r>
        <w:rPr>
          <w:rFonts w:hint="eastAsia" w:ascii="仿宋_GB2312"/>
          <w:lang w:val="en-US" w:eastAsia="zh-CN"/>
        </w:rPr>
        <w:t>设备采购项目的基本</w:t>
      </w:r>
      <w:r>
        <w:rPr>
          <w:rFonts w:hint="eastAsia" w:ascii="仿宋_GB2312"/>
          <w:highlight w:val="yellow"/>
          <w:lang w:val="en-US" w:eastAsia="zh-CN"/>
        </w:rPr>
        <w:t>情况是</w:t>
      </w:r>
      <w:r>
        <w:rPr>
          <w:rFonts w:hint="eastAsia" w:cs="Calibri"/>
          <w:lang w:val="en-US" w:eastAsia="zh-CN"/>
        </w:rPr>
        <w:t>为满足河马泉校区正常开学后教学需要以及北门校区、绿谷校区正常教育教学活动的开展，购置教学办公设备、公共设施设备、教学辅助设施设备、专用场馆教学设备等配套设备等。提高办学质量，消除学校安全隐患，改善教育教学环境，更好地为学生提供教育教学服务。</w:t>
      </w:r>
    </w:p>
    <w:p>
      <w:pPr>
        <w:spacing w:line="360" w:lineRule="auto"/>
        <w:ind w:firstLine="560"/>
        <w:rPr>
          <w:rFonts w:hint="eastAsia" w:cs="Calibri"/>
          <w:lang w:val="en-US" w:eastAsia="zh-CN"/>
        </w:rPr>
      </w:pPr>
      <w:r>
        <w:rPr>
          <w:rFonts w:ascii="仿宋_GB2312"/>
          <w:highlight w:val="yellow"/>
        </w:rPr>
        <w:t>主要实施内容</w:t>
      </w:r>
      <w:r>
        <w:rPr>
          <w:rFonts w:ascii="仿宋_GB2312"/>
        </w:rPr>
        <w:t>：</w:t>
      </w:r>
      <w:r>
        <w:rPr>
          <w:rFonts w:hint="eastAsia" w:ascii="仿宋_GB2312" w:hAnsi="仿宋_GB2312" w:eastAsia="仿宋_GB2312" w:cs="仿宋_GB2312"/>
        </w:rPr>
        <w:t>①</w:t>
      </w:r>
      <w:r>
        <w:rPr>
          <w:rFonts w:hint="eastAsia" w:ascii="仿宋_GB2312"/>
          <w:lang w:val="en-US" w:eastAsia="zh-CN"/>
        </w:rPr>
        <w:t>学生微机室</w:t>
      </w:r>
      <w:r>
        <w:rPr>
          <w:rFonts w:ascii="仿宋_GB2312"/>
        </w:rPr>
        <w:t>;</w:t>
      </w:r>
      <w:r>
        <w:rPr>
          <w:rFonts w:hint="eastAsia" w:ascii="仿宋_GB2312" w:hAnsi="仿宋_GB2312" w:eastAsia="仿宋_GB2312" w:cs="仿宋_GB2312"/>
        </w:rPr>
        <w:t>②</w:t>
      </w:r>
      <w:r>
        <w:rPr>
          <w:rFonts w:hint="eastAsia" w:ascii="仿宋_GB2312"/>
          <w:lang w:val="en-US" w:eastAsia="zh-CN"/>
        </w:rPr>
        <w:t>北门校区购置教师用电脑</w:t>
      </w:r>
      <w:r>
        <w:rPr>
          <w:rFonts w:ascii="仿宋_GB2312"/>
        </w:rPr>
        <w:t>;</w:t>
      </w:r>
      <w:r>
        <w:rPr>
          <w:rFonts w:hint="eastAsia" w:ascii="仿宋_GB2312" w:hAnsi="仿宋_GB2312" w:eastAsia="仿宋_GB2312" w:cs="仿宋_GB2312"/>
        </w:rPr>
        <w:t>③</w:t>
      </w:r>
      <w:r>
        <w:rPr>
          <w:rFonts w:hint="eastAsia" w:ascii="仿宋_GB2312"/>
          <w:lang w:val="en-US" w:eastAsia="zh-CN"/>
        </w:rPr>
        <w:t>购置LED显示屏项目；</w:t>
      </w:r>
      <w:r>
        <w:rPr>
          <w:rFonts w:hint="eastAsia" w:ascii="Calibri" w:hAnsi="Calibri" w:cs="Calibri"/>
          <w:lang w:val="en-US" w:eastAsia="zh-CN"/>
        </w:rPr>
        <w:t>④</w:t>
      </w:r>
      <w:r>
        <w:rPr>
          <w:rFonts w:hint="eastAsia" w:ascii="仿宋_GB2312"/>
          <w:lang w:val="en-US" w:eastAsia="zh-CN"/>
        </w:rPr>
        <w:t>绿谷校区购置视频监控及存储服务器扩容系统</w:t>
      </w:r>
      <w:r>
        <w:rPr>
          <w:rFonts w:hint="eastAsia" w:cs="Calibri"/>
          <w:lang w:val="en-US" w:eastAsia="zh-CN"/>
        </w:rPr>
        <w:t>；</w:t>
      </w:r>
      <w:r>
        <w:rPr>
          <w:rFonts w:hint="eastAsia" w:ascii="Calibri" w:hAnsi="Calibri" w:cs="Calibri"/>
          <w:lang w:val="en-US" w:eastAsia="zh-CN"/>
        </w:rPr>
        <w:t>⑤</w:t>
      </w:r>
      <w:r>
        <w:rPr>
          <w:rFonts w:hint="eastAsia" w:cs="Calibri"/>
          <w:lang w:val="en-US" w:eastAsia="zh-CN"/>
        </w:rPr>
        <w:t>河马泉校区设备采购；</w:t>
      </w:r>
      <w:r>
        <w:rPr>
          <w:rFonts w:hint="eastAsia" w:ascii="仿宋_GB2312"/>
          <w:lang w:val="en-US" w:eastAsia="zh-CN"/>
        </w:rPr>
        <w:t>现阶段项目情况为学生微机室、北门校区购置教师用电脑、购置LED显示屏项目、绿谷校区购置视频监控及存储服务器扩容系统</w:t>
      </w:r>
      <w:r>
        <w:rPr>
          <w:rFonts w:hint="eastAsia" w:cs="Calibri"/>
          <w:lang w:val="en-US" w:eastAsia="zh-CN"/>
        </w:rPr>
        <w:t>均已完成购置安装。河马泉校区设备采购中教学一体机设备、智慧校园综合平台、视频展示设备、窗帘采购、教学用课桌椅、办公家具、开放实验室均已完成招标并且进入实施阶段，另外天象馆设备、初中实验室仪器、校园文化建设因中央资金未到位无法执行，饮水机项目因投诉停止招标活动。</w:t>
      </w:r>
    </w:p>
    <w:p>
      <w:pPr>
        <w:spacing w:line="360" w:lineRule="auto"/>
        <w:ind w:firstLine="560"/>
        <w:rPr>
          <w:rFonts w:hint="eastAsia" w:ascii="仿宋_GB2312" w:hAnsi="仿宋"/>
          <w:szCs w:val="28"/>
          <w:lang w:val="en-US" w:eastAsia="zh-CN"/>
        </w:rPr>
      </w:pPr>
      <w:r>
        <w:rPr>
          <w:rFonts w:hint="eastAsia" w:ascii="仿宋_GB2312"/>
          <w:lang w:val="en-US" w:eastAsia="zh-CN"/>
        </w:rPr>
        <w:t>本项目资金由</w:t>
      </w:r>
      <w:r>
        <w:rPr>
          <w:rFonts w:hint="eastAsia" w:ascii="仿宋_GB2312"/>
        </w:rPr>
        <w:t>经乌财科教【2023】2号文件批准，项目系2023年本级资金，共安排预算1801.16万元，为2023年年初预算批复项目</w:t>
      </w:r>
      <w:r>
        <w:rPr>
          <w:rFonts w:hint="eastAsia" w:ascii="仿宋_GB2312"/>
          <w:lang w:eastAsia="zh-CN"/>
        </w:rPr>
        <w:t>，</w:t>
      </w:r>
      <w:r>
        <w:rPr>
          <w:rFonts w:hint="eastAsia" w:ascii="仿宋_GB2312"/>
          <w:lang w:val="en-US" w:eastAsia="zh-CN"/>
        </w:rPr>
        <w:t>其中因河马泉校区开学在即需要及时购置学校需要的教育教学设备本项采购</w:t>
      </w:r>
      <w:r>
        <w:rPr>
          <w:rFonts w:hint="eastAsia" w:ascii="仿宋_GB2312" w:hAnsi="仿宋"/>
          <w:szCs w:val="28"/>
          <w:lang w:val="en-US" w:eastAsia="zh-CN"/>
        </w:rPr>
        <w:t>占1604.88万元，其余为北门校区和绿谷校区维持正常教育教学活动的开展，提高办学质量，消除学校安全隐患，改善教育教学环境，更好地为学生提供教育教学服务。</w:t>
      </w:r>
    </w:p>
    <w:p>
      <w:pPr>
        <w:pStyle w:val="3"/>
        <w:ind w:firstLine="643"/>
        <w:rPr>
          <w:rFonts w:hint="default" w:ascii="仿宋_GB2312" w:hAnsi="仿宋" w:eastAsia="仿宋_GB2312" w:cs="宋体"/>
          <w:b w:val="0"/>
          <w:bCs w:val="0"/>
          <w:kern w:val="0"/>
          <w:sz w:val="28"/>
          <w:szCs w:val="28"/>
          <w:lang w:val="en-US" w:eastAsia="zh-CN" w:bidi="ar-SA"/>
        </w:rPr>
      </w:pPr>
      <w:r>
        <w:rPr>
          <w:rFonts w:hint="eastAsia" w:ascii="仿宋_GB2312" w:hAnsi="仿宋" w:eastAsia="仿宋_GB2312" w:cs="宋体"/>
          <w:b w:val="0"/>
          <w:bCs w:val="0"/>
          <w:kern w:val="0"/>
          <w:sz w:val="28"/>
          <w:szCs w:val="28"/>
          <w:highlight w:val="yellow"/>
          <w:lang w:val="en-US" w:eastAsia="zh-CN" w:bidi="ar-SA"/>
        </w:rPr>
        <w:t>在此过程中我们总结了一些主要经验和做法，</w:t>
      </w:r>
      <w:r>
        <w:rPr>
          <w:rFonts w:ascii="仿宋_GB2312" w:hAnsi="仿宋" w:eastAsia="仿宋_GB2312" w:cs="宋体"/>
          <w:b w:val="0"/>
          <w:bCs w:val="0"/>
          <w:kern w:val="0"/>
          <w:sz w:val="28"/>
          <w:szCs w:val="28"/>
          <w:highlight w:val="yellow"/>
          <w:lang w:val="en-US" w:eastAsia="zh-CN" w:bidi="ar-SA"/>
        </w:rPr>
        <w:t>在项目开始之前,必须制定一个清晰而明确的项目目标和计划,以确保团队成员都了解围绕什么工作以</w:t>
      </w:r>
      <w:r>
        <w:rPr>
          <w:rFonts w:ascii="仿宋_GB2312" w:hAnsi="仿宋" w:eastAsia="仿宋_GB2312" w:cs="宋体"/>
          <w:b w:val="0"/>
          <w:bCs w:val="0"/>
          <w:kern w:val="0"/>
          <w:sz w:val="28"/>
          <w:szCs w:val="28"/>
          <w:lang w:val="en-US" w:eastAsia="zh-CN" w:bidi="ar-SA"/>
        </w:rPr>
        <w:t>及如何完成它们。 目标必须是明确、可衡量的,并为每个小组成员提供一个明确定义的任务。计划应包括项目的所有步骤、所需资源以及实现这些步骤所需的时间。这样,每个团队成员都能清晰地知道自己的职责和时间表。</w:t>
      </w:r>
      <w:r>
        <w:rPr>
          <w:rFonts w:hint="eastAsia" w:ascii="仿宋_GB2312" w:hAnsi="仿宋" w:eastAsia="仿宋_GB2312" w:cs="宋体"/>
          <w:b w:val="0"/>
          <w:bCs w:val="0"/>
          <w:kern w:val="0"/>
          <w:sz w:val="28"/>
          <w:szCs w:val="28"/>
          <w:lang w:val="en-US" w:eastAsia="zh-CN" w:bidi="ar-SA"/>
        </w:rPr>
        <w:t>项目执行过程中定期督察实施进度，对期间发现的不合理内容及时做出纠正，对存在的问题及时上报学校并解决，提高和施工单位对接频率，保证施工进度也保证施工质量，和校内使用部门人员、资产人员以及监管部门人员，一起对项目进行清点验收，提出问题汇总待施工单位完成整改后，进行接收，相关资料归档。</w:t>
      </w:r>
    </w:p>
    <w:p>
      <w:pPr>
        <w:spacing w:line="360" w:lineRule="auto"/>
        <w:ind w:firstLine="560"/>
        <w:rPr>
          <w:rFonts w:hint="eastAsia" w:ascii="仿宋_GB2312" w:hAnsi="仿宋" w:cs="宋体"/>
          <w:kern w:val="0"/>
          <w:szCs w:val="28"/>
          <w:lang w:val="en-US" w:eastAsia="zh-CN"/>
        </w:rPr>
      </w:pPr>
      <w:r>
        <w:rPr>
          <w:rFonts w:hint="eastAsia" w:ascii="仿宋_GB2312" w:hAnsi="仿宋" w:cs="宋体"/>
          <w:kern w:val="0"/>
          <w:szCs w:val="28"/>
          <w:lang w:val="en-US" w:eastAsia="zh-CN"/>
        </w:rPr>
        <w:t>在项目的执行过程中我们发现了一些项目存在问题，主要是招标前期工作周期较长，整体缺乏经验，导致招标时间靠后，项目在年底无法完成，尤其进入冬季后河马泉项目大多只能延后，导致付款资料报送日期靠后财政无法及时下发付款计划完成付款。后续项目将吸取教训，将流程适当提前，尽快完成清单出具以及评审的报送。</w:t>
      </w:r>
    </w:p>
    <w:p>
      <w:pPr>
        <w:spacing w:line="360" w:lineRule="auto"/>
        <w:ind w:firstLine="560"/>
        <w:rPr>
          <w:rFonts w:hint="eastAsia" w:ascii="仿宋_GB2312" w:hAnsi="仿宋" w:eastAsia="仿宋_GB2312" w:cs="宋体"/>
          <w:kern w:val="0"/>
          <w:szCs w:val="28"/>
          <w:lang w:val="en-US" w:eastAsia="zh-CN"/>
        </w:rPr>
      </w:pPr>
      <w:r>
        <w:rPr>
          <w:rFonts w:hint="eastAsia" w:ascii="仿宋_GB2312" w:hAnsi="仿宋" w:cs="宋体"/>
          <w:kern w:val="0"/>
          <w:szCs w:val="28"/>
          <w:lang w:val="en-US" w:eastAsia="zh-CN"/>
        </w:rPr>
        <w:t>乌鲁木齐市第一中学设备购置项目除河马泉设备购置项目未完全完成，其余项目均以完成或低于预算价完成，整体完成情况良好</w:t>
      </w:r>
      <w:r>
        <w:rPr>
          <w:rFonts w:hint="eastAsia" w:ascii="仿宋_GB2312"/>
          <w:szCs w:val="28"/>
          <w:lang w:eastAsia="zh-CN"/>
        </w:rPr>
        <w:t>。</w:t>
      </w:r>
    </w:p>
    <w:p>
      <w:pPr>
        <w:spacing w:line="360" w:lineRule="auto"/>
        <w:ind w:firstLine="560"/>
        <w:rPr>
          <w:rFonts w:hint="default" w:ascii="仿宋_GB2312" w:hAnsi="仿宋"/>
          <w:szCs w:val="28"/>
          <w:lang w:val="en-US" w:eastAsia="zh-CN"/>
        </w:rPr>
      </w:pPr>
    </w:p>
    <w:p>
      <w:pPr>
        <w:spacing w:line="360" w:lineRule="auto"/>
        <w:ind w:firstLine="560"/>
        <w:rPr>
          <w:rFonts w:hint="eastAsia" w:cs="Calibri"/>
          <w:lang w:val="en-US" w:eastAsia="zh-CN"/>
        </w:rPr>
      </w:pPr>
    </w:p>
    <w:p>
      <w:pPr>
        <w:pStyle w:val="3"/>
        <w:ind w:firstLine="643"/>
        <w:rPr>
          <w:rFonts w:ascii="仿宋" w:hAnsi="仿宋" w:eastAsia="仿宋"/>
          <w:lang w:bidi="en-US"/>
        </w:rPr>
      </w:pPr>
      <w:bookmarkStart w:id="17" w:name="_Toc165277231"/>
      <w:bookmarkStart w:id="18" w:name="_Toc67911606"/>
      <w:bookmarkStart w:id="19" w:name="_Hlk67586765"/>
      <w:r>
        <w:rPr>
          <w:rFonts w:hint="eastAsia" w:ascii="仿宋" w:hAnsi="仿宋" w:eastAsia="仿宋"/>
          <w:lang w:bidi="en-US"/>
        </w:rPr>
        <w:t>（二）绩效评价原则、指标体系、方法及标准</w:t>
      </w:r>
      <w:bookmarkEnd w:id="17"/>
      <w:bookmarkEnd w:id="18"/>
    </w:p>
    <w:bookmarkEnd w:id="19"/>
    <w:p>
      <w:pPr>
        <w:pStyle w:val="4"/>
        <w:ind w:firstLine="643"/>
      </w:pPr>
      <w:bookmarkStart w:id="20" w:name="_Toc165277232"/>
      <w:r>
        <w:rPr>
          <w:rFonts w:hint="eastAsia"/>
        </w:rPr>
        <w:t>1</w:t>
      </w:r>
      <w:r>
        <w:t>.</w:t>
      </w:r>
      <w:r>
        <w:rPr>
          <w:rFonts w:hint="eastAsia"/>
        </w:rPr>
        <w:t>评价原则</w:t>
      </w:r>
      <w:bookmarkEnd w:id="20"/>
    </w:p>
    <w:p>
      <w:pPr>
        <w:spacing w:line="600" w:lineRule="exact"/>
        <w:ind w:firstLine="640"/>
        <w:rPr>
          <w:rFonts w:ascii="仿宋_GB2312"/>
          <w:bCs/>
          <w:sz w:val="32"/>
          <w:szCs w:val="32"/>
        </w:rPr>
      </w:pPr>
      <w:r>
        <w:rPr>
          <w:rFonts w:hint="eastAsia" w:ascii="仿宋_GB2312"/>
          <w:bCs/>
          <w:sz w:val="32"/>
          <w:szCs w:val="32"/>
        </w:rPr>
        <w:t>（一）科学公正。绩效评价应当运用科学合理的方法，按照规范的程序，对项目绩效进行客观、公正的反映。</w:t>
      </w:r>
    </w:p>
    <w:p>
      <w:pPr>
        <w:spacing w:line="600" w:lineRule="exact"/>
        <w:ind w:firstLine="640"/>
        <w:rPr>
          <w:rFonts w:ascii="仿宋_GB2312"/>
          <w:bCs/>
          <w:sz w:val="32"/>
          <w:szCs w:val="32"/>
        </w:rPr>
      </w:pPr>
      <w:r>
        <w:rPr>
          <w:rFonts w:hint="eastAsia" w:ascii="仿宋_GB2312"/>
          <w:bCs/>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600" w:lineRule="exact"/>
        <w:ind w:firstLine="640"/>
        <w:rPr>
          <w:rFonts w:ascii="仿宋_GB2312"/>
          <w:bCs/>
          <w:sz w:val="32"/>
          <w:szCs w:val="32"/>
        </w:rPr>
      </w:pPr>
      <w:r>
        <w:rPr>
          <w:rFonts w:hint="eastAsia" w:ascii="仿宋_GB2312"/>
          <w:bCs/>
          <w:sz w:val="32"/>
          <w:szCs w:val="32"/>
        </w:rPr>
        <w:t>（三）激励约束。绩效评价结果应与预算安排、政策调整、改进管理实质性挂钩，体现奖优罚劣和激励相容导向，有效要安排、低效要压减、无效要问责。</w:t>
      </w:r>
    </w:p>
    <w:p>
      <w:pPr>
        <w:spacing w:line="600" w:lineRule="exact"/>
        <w:ind w:firstLine="640"/>
        <w:rPr>
          <w:rFonts w:ascii="仿宋_GB2312"/>
          <w:bCs/>
          <w:sz w:val="32"/>
          <w:szCs w:val="32"/>
        </w:rPr>
      </w:pPr>
      <w:r>
        <w:rPr>
          <w:rFonts w:hint="eastAsia" w:ascii="仿宋_GB2312"/>
          <w:bCs/>
          <w:sz w:val="32"/>
          <w:szCs w:val="32"/>
        </w:rPr>
        <w:t>（四）公开透明。绩效评价结果应依法依规公开，并自觉接受社会监督。</w:t>
      </w:r>
    </w:p>
    <w:p>
      <w:pPr>
        <w:pStyle w:val="4"/>
        <w:ind w:firstLine="643"/>
      </w:pPr>
      <w:bookmarkStart w:id="21" w:name="_Toc165277233"/>
      <w:r>
        <w:t>2.</w:t>
      </w:r>
      <w:r>
        <w:rPr>
          <w:rFonts w:hint="eastAsia"/>
        </w:rPr>
        <w:t>评价指标体系</w:t>
      </w:r>
      <w:bookmarkEnd w:id="21"/>
    </w:p>
    <w:p>
      <w:pPr>
        <w:spacing w:line="360" w:lineRule="auto"/>
        <w:ind w:firstLine="560"/>
        <w:rPr>
          <w:rFonts w:ascii="仿宋_GB2312"/>
        </w:rPr>
      </w:pPr>
      <w:r>
        <w:rPr>
          <w:rFonts w:hint="eastAsia" w:ascii="仿宋_GB2312"/>
        </w:rPr>
        <w:t>绩效评价指标体系作为衡量绩效目标实现程度的考核工具，一般遵循以下原则：</w:t>
      </w:r>
    </w:p>
    <w:p>
      <w:pPr>
        <w:spacing w:line="360" w:lineRule="auto"/>
        <w:ind w:firstLine="560"/>
        <w:rPr>
          <w:rFonts w:ascii="仿宋_GB2312"/>
        </w:rPr>
      </w:pPr>
      <w:r>
        <w:rPr>
          <w:rFonts w:hint="eastAsia" w:ascii="仿宋_GB2312"/>
        </w:rPr>
        <w:t>（1）相关性原则：绩效评价指标应当与绩效目标有直接的联系，能够恰当反映目标的实现程度。</w:t>
      </w:r>
    </w:p>
    <w:p>
      <w:pPr>
        <w:spacing w:line="360" w:lineRule="auto"/>
        <w:ind w:firstLine="560"/>
        <w:rPr>
          <w:rFonts w:ascii="仿宋_GB2312"/>
        </w:rPr>
      </w:pPr>
      <w:r>
        <w:rPr>
          <w:rFonts w:hint="eastAsia" w:ascii="仿宋_GB2312"/>
        </w:rPr>
        <w:t>（2）重要性原则：应当优先使用最具评价对象代表性、最能反映评价要求的核心指标。</w:t>
      </w:r>
    </w:p>
    <w:p>
      <w:pPr>
        <w:spacing w:line="360" w:lineRule="auto"/>
        <w:ind w:firstLine="560"/>
        <w:rPr>
          <w:rFonts w:ascii="仿宋_GB2312"/>
        </w:rPr>
      </w:pPr>
      <w:r>
        <w:rPr>
          <w:rFonts w:hint="eastAsia" w:ascii="仿宋_GB2312"/>
        </w:rPr>
        <w:t>（3）可比性原则：对同类评价对象要设定共性的绩效评价指标，以便于评价结果可以相互比较。</w:t>
      </w:r>
    </w:p>
    <w:p>
      <w:pPr>
        <w:spacing w:line="360" w:lineRule="auto"/>
        <w:ind w:firstLine="560"/>
        <w:rPr>
          <w:rFonts w:ascii="仿宋_GB2312"/>
        </w:rPr>
      </w:pPr>
      <w:r>
        <w:rPr>
          <w:rFonts w:hint="eastAsia" w:ascii="仿宋_GB2312"/>
        </w:rPr>
        <w:t>（4）系统性原则：绩效评价指标的设置应当将定量指标与定性指标相结合，能系统反映财政支出所产生的社会效益、经济效益和可持续影响等。</w:t>
      </w:r>
    </w:p>
    <w:p>
      <w:pPr>
        <w:spacing w:line="360" w:lineRule="auto"/>
        <w:ind w:firstLine="560"/>
        <w:rPr>
          <w:rFonts w:ascii="仿宋_GB2312"/>
        </w:rPr>
      </w:pPr>
      <w:r>
        <w:rPr>
          <w:rFonts w:hint="eastAsia" w:ascii="仿宋_GB2312"/>
        </w:rPr>
        <w:t>（5）经济性原则：绩效评价指标设计应当通俗易懂、简便易行，数据的获得应当考虑现实条件和可操作性，符合成本效益原则。</w:t>
      </w:r>
    </w:p>
    <w:p>
      <w:pPr>
        <w:spacing w:line="360" w:lineRule="auto"/>
        <w:ind w:firstLine="560"/>
        <w:rPr>
          <w:rFonts w:ascii="仿宋_GB2312"/>
        </w:rPr>
      </w:pPr>
      <w:r>
        <w:rPr>
          <w:rFonts w:hint="eastAsia" w:ascii="仿宋_GB2312"/>
          <w:highlight w:val="yellow"/>
        </w:rPr>
        <w:t>本项目的评价指标体系建立如下表所示。</w:t>
      </w:r>
    </w:p>
    <w:p>
      <w:pPr>
        <w:spacing w:line="360" w:lineRule="auto"/>
        <w:ind w:firstLine="560"/>
        <w:rPr>
          <w:rFonts w:ascii="仿宋_GB2312"/>
        </w:rPr>
      </w:pPr>
    </w:p>
    <w:p>
      <w:pPr>
        <w:spacing w:line="360" w:lineRule="auto"/>
        <w:ind w:firstLine="560"/>
        <w:rPr>
          <w:rFonts w:ascii="仿宋_GB2312"/>
        </w:rPr>
      </w:pPr>
    </w:p>
    <w:p>
      <w:pPr>
        <w:spacing w:line="360" w:lineRule="auto"/>
        <w:ind w:firstLine="560"/>
        <w:rPr>
          <w:rFonts w:ascii="仿宋_GB2312"/>
        </w:rPr>
        <w:sectPr>
          <w:headerReference r:id="rId11" w:type="default"/>
          <w:footerReference r:id="rId12" w:type="default"/>
          <w:footnotePr>
            <w:numFmt w:val="decimalEnclosedCircleChinese"/>
          </w:footnotePr>
          <w:pgSz w:w="11906" w:h="16838"/>
          <w:pgMar w:top="1440" w:right="1800" w:bottom="1440" w:left="1800" w:header="992" w:footer="992" w:gutter="0"/>
          <w:pgNumType w:start="1"/>
          <w:cols w:space="425" w:num="1"/>
          <w:docGrid w:type="lines" w:linePitch="381" w:charSpace="0"/>
        </w:sectPr>
      </w:pPr>
    </w:p>
    <w:p>
      <w:pPr>
        <w:spacing w:line="360" w:lineRule="auto"/>
        <w:ind w:firstLine="0" w:firstLineChars="0"/>
        <w:jc w:val="center"/>
        <w:rPr>
          <w:rFonts w:ascii="仿宋_GB2312"/>
          <w:b/>
          <w:bCs/>
        </w:rPr>
      </w:pPr>
      <w:r>
        <w:rPr>
          <w:rFonts w:ascii="仿宋_GB2312"/>
          <w:b/>
          <w:bCs/>
        </w:rPr>
        <w:t xml:space="preserve">  </w:t>
      </w:r>
      <w:r>
        <w:rPr>
          <w:rFonts w:hint="eastAsia" w:ascii="仿宋_GB2312"/>
          <w:b/>
          <w:bCs/>
        </w:rPr>
        <w:t>项目支出绩效评价指标体系</w:t>
      </w:r>
    </w:p>
    <w:tbl>
      <w:tblPr>
        <w:tblStyle w:val="1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55"/>
        <w:gridCol w:w="1199"/>
        <w:gridCol w:w="1411"/>
        <w:gridCol w:w="2789"/>
        <w:gridCol w:w="7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155"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199"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411"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2789"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7341"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决策</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项目立项</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立项依据</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充分性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项目立项是否符合法律法规、相关政策、发展规划以及部门职责，用以反映和考核项目立项依据情况。</w:t>
            </w:r>
          </w:p>
        </w:tc>
        <w:tc>
          <w:tcPr>
            <w:tcW w:w="7341" w:type="dxa"/>
            <w:tcBorders>
              <w:tl2br w:val="nil"/>
              <w:tr2bl w:val="nil"/>
            </w:tcBorders>
            <w:shd w:val="clear" w:color="auto"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①项目立项是否符合国家法律法规、国民经济发展规划和相关政策；</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②项目立项是否符合行业发展规划和政策要求；</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③项目立项是否与部门职责范围相符，属于部门履职所需；</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④项目是否属于公共财政支持范围，是否符合中央、地方事权支出责任划分原则；</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立项程序</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规范性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项目申请、设立过程是否符合相关要求，用以反映和考核项目立项的规范情况。</w:t>
            </w:r>
          </w:p>
        </w:tc>
        <w:tc>
          <w:tcPr>
            <w:tcW w:w="7341" w:type="dxa"/>
            <w:tcBorders>
              <w:tl2br w:val="nil"/>
              <w:tr2bl w:val="nil"/>
            </w:tcBorders>
            <w:shd w:val="clear" w:color="auto"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①项目是否按照规定的程序申请设立；</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②审批文件、材料是否符合相关要求；</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合理性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项目所设定的绩效目标是否依据充分，是否符合客观实际，用以反映和考核项目绩效目标与项目实施的相符情况。</w:t>
            </w:r>
          </w:p>
        </w:tc>
        <w:tc>
          <w:tcPr>
            <w:tcW w:w="7341" w:type="dxa"/>
            <w:tcBorders>
              <w:tl2br w:val="nil"/>
              <w:tr2bl w:val="nil"/>
            </w:tcBorders>
            <w:shd w:val="clear" w:color="000000"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（如未设定预算绩效目标，也可考核其他工作任务目标）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①项目是否有绩效目标；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②项目绩效目标与实际工作内容是否具有相关性；</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③项目预期产出效益和效果是否符合正常的业绩水平；</w:t>
            </w:r>
          </w:p>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决策</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明确性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依据绩效目标设定的绩效指标是否清晰、细化、可衡量等，用以反映和考核项目绩效目标的明细化情况。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①是否将项目绩效目标细化分解为具体的绩效指标；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②是否通过清晰、可衡量的指标值予以体现；</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③是否与项目目标任务数或计划数相对应。</w:t>
            </w:r>
            <w:r>
              <w:rPr>
                <w:rFonts w:hint="eastAsia" w:ascii="宋体" w:hAnsi="宋体" w:eastAsia="宋体" w:cs="宋体"/>
                <w:color w:val="000000"/>
                <w:kern w:val="0"/>
                <w:sz w:val="22"/>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资金投入</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预算编制</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科学性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项目预算编制是否经过科学论证、有明确标准，资金额度与年度目标是否相适应，用以反映和考核项目预算编制的科学性、合理性情况。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①预算编制是否经过科学论证；</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②预算内容与项目内容是否匹配；</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③预算额度测算依据是否充分，是否按照标准编制；</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资金分配</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合理性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项目预算资金分配是否有测算依据，与补助单位或地方实际是否相适应，用以反映和考核项目预算资金分配的科学性、合理性情况。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①预算资金分配依据是否充分；</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155" w:type="dxa"/>
            <w:vMerge w:val="restart"/>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过程</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资金管理</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资金到位率</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实际到位资金与预算资金的比率，用以反映和考核资金落实情况对项目实施的总体保障程度。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资金到位率=（实际到位资金/预算资金）×100%。</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实际到位资金：一定时期（本年度或项目期）内落实到具体项目的资金。</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预算执行率</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项目预算资金是否按照计划执行，用以反映或考核项目预算执行情况。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预算执行率=（实际支出资金/实际到位资金）×100%。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55" w:type="dxa"/>
            <w:vMerge w:val="restart"/>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过程</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资金管理</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资金使用</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合规性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项目资金使用是否符合相关的财务管理制度规定，用以反映和考核项目资金的规范运行情况。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①是否符合国家财经法规和财务管理制度以及有关专项资金管理办法的规定；</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②资金的拨付是否有完整的审批程序和手续；</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③是否符合项目预算批复或合同规定的用途；</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组织实施</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管理制度</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健全性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项目实施单位的财务和业务管理制度是否健全，用以反映和考核财务和业务管理制度对项目顺利实施的保障情况。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①是否已制定或具有相应的财务和业务管理制度；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制度执行</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有效性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项目实施是否符合相关管理规定，用以反映和考核相关管理制度的有效执行情况。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①是否遵守相关法律法规和相关管理规定；</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②项目调整及支出调整手续是否完备；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③项目合同书、验收报告、技术鉴定等资料是否齐全并及时归档；</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0"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yellow"/>
              </w:rPr>
            </w:pPr>
            <w:r>
              <w:rPr>
                <w:rFonts w:hint="eastAsia" w:ascii="宋体" w:hAnsi="宋体" w:eastAsia="宋体" w:cs="宋体"/>
                <w:color w:val="000000"/>
                <w:kern w:val="0"/>
                <w:sz w:val="22"/>
                <w:highlight w:val="yellow"/>
              </w:rPr>
              <w:t>产出</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yellow"/>
              </w:rPr>
            </w:pPr>
            <w:r>
              <w:rPr>
                <w:rFonts w:hint="eastAsia" w:ascii="宋体" w:hAnsi="宋体" w:eastAsia="宋体" w:cs="宋体"/>
                <w:color w:val="000000"/>
                <w:kern w:val="0"/>
                <w:sz w:val="22"/>
                <w:highlight w:val="yellow"/>
              </w:rPr>
              <w:t>产出数量</w:t>
            </w:r>
          </w:p>
        </w:tc>
        <w:tc>
          <w:tcPr>
            <w:tcW w:w="1411" w:type="dxa"/>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学生微机室配置数（间）</w:t>
            </w:r>
          </w:p>
        </w:tc>
        <w:tc>
          <w:tcPr>
            <w:tcW w:w="2789"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项目实施的实际产出数与计划产出数的比率，用以反映和考核项目产出数量目标的实现程度。</w:t>
            </w:r>
          </w:p>
        </w:tc>
        <w:tc>
          <w:tcPr>
            <w:tcW w:w="7341"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实际完成率=（实际产出数/计划产出数）×100%。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实际产出数：一定时期（本年度或项目期）内项目实际产出的产品或提供的服务数量。</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0"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北门校区购置教师用电脑数量</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3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购置LED显示屏项目数量</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36" w:hRule="atLeast"/>
          <w:jc w:val="center"/>
        </w:trPr>
        <w:tc>
          <w:tcPr>
            <w:tcW w:w="1155" w:type="dxa"/>
            <w:vMerge w:val="continue"/>
            <w:tcBorders>
              <w:tl2br w:val="nil"/>
              <w:tr2bl w:val="nil"/>
            </w:tcBorders>
            <w:shd w:val="clear" w:color="auto" w:fill="FFFFFF"/>
            <w:vAlign w:val="center"/>
          </w:tcPr>
          <w:p>
            <w:pPr>
              <w:keepNext w:val="0"/>
              <w:keepLines w:val="0"/>
              <w:widowControl/>
              <w:suppressLineNumbers w:val="0"/>
              <w:ind w:firstLine="560" w:firstLineChars="200"/>
              <w:jc w:val="left"/>
              <w:textAlignment w:val="center"/>
            </w:pPr>
          </w:p>
        </w:tc>
        <w:tc>
          <w:tcPr>
            <w:tcW w:w="1199" w:type="dxa"/>
            <w:vMerge w:val="continue"/>
            <w:tcBorders>
              <w:tl2br w:val="nil"/>
              <w:tr2bl w:val="nil"/>
            </w:tcBorders>
            <w:shd w:val="clear" w:color="auto" w:fill="FFFFFF"/>
            <w:vAlign w:val="center"/>
          </w:tcPr>
          <w:p>
            <w:pPr>
              <w:keepNext w:val="0"/>
              <w:keepLines w:val="0"/>
              <w:widowControl/>
              <w:suppressLineNumbers w:val="0"/>
              <w:ind w:firstLine="560" w:firstLineChars="200"/>
              <w:jc w:val="left"/>
              <w:textAlignment w:val="center"/>
            </w:pPr>
          </w:p>
        </w:tc>
        <w:tc>
          <w:tcPr>
            <w:tcW w:w="1411" w:type="dxa"/>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绿谷校区购置视频监控及存储服务器扩容系统数量</w:t>
            </w:r>
          </w:p>
        </w:tc>
        <w:tc>
          <w:tcPr>
            <w:tcW w:w="2789" w:type="dxa"/>
            <w:vMerge w:val="continue"/>
            <w:tcBorders>
              <w:tl2br w:val="nil"/>
              <w:tr2bl w:val="nil"/>
            </w:tcBorders>
            <w:shd w:val="clear" w:color="000000"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p>
        </w:tc>
        <w:tc>
          <w:tcPr>
            <w:tcW w:w="7341" w:type="dxa"/>
            <w:vMerge w:val="continue"/>
            <w:tcBorders>
              <w:tl2br w:val="nil"/>
              <w:tr2bl w:val="nil"/>
            </w:tcBorders>
            <w:shd w:val="clear" w:color="000000"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36" w:hRule="atLeast"/>
          <w:jc w:val="center"/>
        </w:trPr>
        <w:tc>
          <w:tcPr>
            <w:tcW w:w="1155" w:type="dxa"/>
            <w:vMerge w:val="continue"/>
            <w:tcBorders>
              <w:tl2br w:val="nil"/>
              <w:tr2bl w:val="nil"/>
            </w:tcBorders>
            <w:shd w:val="clear" w:color="auto" w:fill="FFFFFF"/>
            <w:vAlign w:val="center"/>
          </w:tcPr>
          <w:p>
            <w:pPr>
              <w:keepNext w:val="0"/>
              <w:keepLines w:val="0"/>
              <w:widowControl/>
              <w:suppressLineNumbers w:val="0"/>
              <w:ind w:firstLine="560" w:firstLineChars="200"/>
              <w:jc w:val="left"/>
              <w:textAlignment w:val="center"/>
            </w:pPr>
          </w:p>
        </w:tc>
        <w:tc>
          <w:tcPr>
            <w:tcW w:w="1199" w:type="dxa"/>
            <w:vMerge w:val="continue"/>
            <w:tcBorders>
              <w:tl2br w:val="nil"/>
              <w:tr2bl w:val="nil"/>
            </w:tcBorders>
            <w:shd w:val="clear" w:color="auto" w:fill="FFFFFF"/>
            <w:vAlign w:val="center"/>
          </w:tcPr>
          <w:p>
            <w:pPr>
              <w:keepNext w:val="0"/>
              <w:keepLines w:val="0"/>
              <w:widowControl/>
              <w:suppressLineNumbers w:val="0"/>
              <w:ind w:firstLine="560" w:firstLineChars="200"/>
              <w:jc w:val="left"/>
              <w:textAlignment w:val="center"/>
            </w:pPr>
          </w:p>
        </w:tc>
        <w:tc>
          <w:tcPr>
            <w:tcW w:w="1411" w:type="dxa"/>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河马泉校区设备采购项目</w:t>
            </w:r>
          </w:p>
        </w:tc>
        <w:tc>
          <w:tcPr>
            <w:tcW w:w="2789" w:type="dxa"/>
            <w:vMerge w:val="continue"/>
            <w:tcBorders>
              <w:tl2br w:val="nil"/>
              <w:tr2bl w:val="nil"/>
            </w:tcBorders>
            <w:shd w:val="clear" w:color="000000"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p>
        </w:tc>
        <w:tc>
          <w:tcPr>
            <w:tcW w:w="7341" w:type="dxa"/>
            <w:vMerge w:val="continue"/>
            <w:tcBorders>
              <w:tl2br w:val="nil"/>
              <w:tr2bl w:val="nil"/>
            </w:tcBorders>
            <w:shd w:val="clear" w:color="000000"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yellow"/>
              </w:rPr>
            </w:pPr>
            <w:r>
              <w:rPr>
                <w:rFonts w:hint="eastAsia" w:ascii="宋体" w:hAnsi="宋体" w:eastAsia="宋体" w:cs="宋体"/>
                <w:color w:val="000000"/>
                <w:kern w:val="0"/>
                <w:sz w:val="22"/>
                <w:highlight w:val="yellow"/>
              </w:rPr>
              <w:t>产出</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yellow"/>
              </w:rPr>
            </w:pPr>
            <w:r>
              <w:rPr>
                <w:rFonts w:hint="eastAsia" w:ascii="宋体" w:hAnsi="宋体" w:eastAsia="宋体" w:cs="宋体"/>
                <w:color w:val="000000"/>
                <w:kern w:val="0"/>
                <w:sz w:val="22"/>
                <w:highlight w:val="yellow"/>
              </w:rPr>
              <w:t>产出质量</w:t>
            </w:r>
          </w:p>
        </w:tc>
        <w:tc>
          <w:tcPr>
            <w:tcW w:w="1411" w:type="dxa"/>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设备验收通过率</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highlight w:val="yellow"/>
              </w:rPr>
              <w:t>项目完成的</w:t>
            </w:r>
            <w:r>
              <w:rPr>
                <w:rFonts w:hint="eastAsia" w:ascii="宋体" w:hAnsi="宋体" w:eastAsia="宋体" w:cs="宋体"/>
                <w:color w:val="000000"/>
                <w:kern w:val="0"/>
                <w:sz w:val="22"/>
                <w:highlight w:val="yellow"/>
                <w:lang w:val="en-US" w:eastAsia="zh-CN"/>
              </w:rPr>
              <w:t>设备验收</w:t>
            </w:r>
            <w:r>
              <w:rPr>
                <w:rFonts w:hint="eastAsia" w:ascii="宋体" w:hAnsi="宋体" w:eastAsia="宋体" w:cs="宋体"/>
                <w:color w:val="000000"/>
                <w:kern w:val="0"/>
                <w:sz w:val="22"/>
                <w:highlight w:val="yellow"/>
              </w:rPr>
              <w:t>达标产出数与实际</w:t>
            </w:r>
            <w:r>
              <w:rPr>
                <w:rFonts w:hint="eastAsia" w:ascii="宋体" w:hAnsi="宋体" w:eastAsia="宋体" w:cs="宋体"/>
                <w:color w:val="000000"/>
                <w:kern w:val="0"/>
                <w:sz w:val="22"/>
                <w:highlight w:val="yellow"/>
                <w:lang w:val="en-US" w:eastAsia="zh-CN"/>
              </w:rPr>
              <w:t>设备验收达</w:t>
            </w:r>
            <w:r>
              <w:rPr>
                <w:rFonts w:hint="eastAsia" w:ascii="宋体" w:hAnsi="宋体" w:eastAsia="宋体" w:cs="宋体"/>
                <w:color w:val="000000"/>
                <w:kern w:val="0"/>
                <w:sz w:val="22"/>
                <w:highlight w:val="yellow"/>
              </w:rPr>
              <w:t>数的比率，用以反映和考核项目</w:t>
            </w:r>
            <w:r>
              <w:rPr>
                <w:rFonts w:hint="eastAsia" w:ascii="宋体" w:hAnsi="宋体" w:eastAsia="宋体" w:cs="宋体"/>
                <w:i w:val="0"/>
                <w:iCs w:val="0"/>
                <w:color w:val="000000"/>
                <w:kern w:val="0"/>
                <w:sz w:val="20"/>
                <w:szCs w:val="20"/>
                <w:u w:val="none"/>
                <w:lang w:val="en-US" w:eastAsia="zh-CN" w:bidi="ar"/>
              </w:rPr>
              <w:t>设备验收通过率</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lang w:val="en-US" w:eastAsia="zh-CN"/>
              </w:rPr>
              <w:t>设备验收通过</w:t>
            </w:r>
            <w:r>
              <w:rPr>
                <w:rFonts w:hint="eastAsia" w:ascii="宋体" w:hAnsi="宋体" w:eastAsia="宋体" w:cs="宋体"/>
                <w:color w:val="000000"/>
                <w:kern w:val="0"/>
                <w:sz w:val="22"/>
              </w:rPr>
              <w:t>率=（</w:t>
            </w:r>
            <w:r>
              <w:rPr>
                <w:rFonts w:hint="eastAsia" w:ascii="宋体" w:hAnsi="宋体" w:eastAsia="宋体" w:cs="宋体"/>
                <w:color w:val="000000"/>
                <w:kern w:val="0"/>
                <w:sz w:val="22"/>
                <w:lang w:val="en-US" w:eastAsia="zh-CN"/>
              </w:rPr>
              <w:t>设备验收通过</w:t>
            </w:r>
            <w:r>
              <w:rPr>
                <w:rFonts w:hint="eastAsia" w:ascii="宋体" w:hAnsi="宋体" w:eastAsia="宋体" w:cs="宋体"/>
                <w:color w:val="000000"/>
                <w:kern w:val="0"/>
                <w:sz w:val="22"/>
              </w:rPr>
              <w:t>数/</w:t>
            </w:r>
            <w:r>
              <w:rPr>
                <w:rFonts w:hint="eastAsia" w:ascii="宋体" w:hAnsi="宋体" w:eastAsia="宋体" w:cs="宋体"/>
                <w:color w:val="000000"/>
                <w:kern w:val="0"/>
                <w:sz w:val="22"/>
                <w:lang w:val="en-US" w:eastAsia="zh-CN"/>
              </w:rPr>
              <w:t>总设备</w:t>
            </w:r>
            <w:r>
              <w:rPr>
                <w:rFonts w:hint="eastAsia" w:ascii="宋体" w:hAnsi="宋体" w:eastAsia="宋体" w:cs="宋体"/>
                <w:color w:val="000000"/>
                <w:kern w:val="0"/>
                <w:sz w:val="22"/>
              </w:rPr>
              <w:t>数）×100%。</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lang w:val="en-US" w:eastAsia="zh-CN"/>
              </w:rPr>
              <w:t>设备验收</w:t>
            </w:r>
            <w:r>
              <w:rPr>
                <w:rFonts w:hint="eastAsia" w:ascii="宋体" w:hAnsi="宋体" w:eastAsia="宋体" w:cs="宋体"/>
                <w:color w:val="000000"/>
                <w:kern w:val="0"/>
                <w:sz w:val="22"/>
                <w:highlight w:val="yellow"/>
              </w:rPr>
              <w:t>达标产出数：一定时期（本年度或项目期）内实际达到既定质量标准的产品或服务数量。既定质量标准是指项目实施单位设立绩效目标时依据计划标准、行业标准、历史标</w:t>
            </w:r>
            <w:r>
              <w:rPr>
                <w:rFonts w:hint="eastAsia" w:ascii="宋体" w:hAnsi="宋体" w:eastAsia="宋体" w:cs="宋体"/>
                <w:color w:val="000000"/>
                <w:kern w:val="0"/>
                <w:sz w:val="22"/>
              </w:rPr>
              <w:t>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6"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highlight w:val="yellow"/>
              </w:rPr>
            </w:pPr>
          </w:p>
        </w:tc>
        <w:tc>
          <w:tcPr>
            <w:tcW w:w="1199" w:type="dxa"/>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highlight w:val="yellow"/>
              </w:rPr>
            </w:pPr>
            <w:r>
              <w:rPr>
                <w:rFonts w:hint="eastAsia" w:ascii="宋体" w:hAnsi="宋体" w:eastAsia="宋体" w:cs="宋体"/>
                <w:color w:val="000000"/>
                <w:kern w:val="0"/>
                <w:sz w:val="22"/>
                <w:highlight w:val="yellow"/>
              </w:rPr>
              <w:t>产出时效</w:t>
            </w:r>
          </w:p>
        </w:tc>
        <w:tc>
          <w:tcPr>
            <w:tcW w:w="1411" w:type="dxa"/>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项目完成及时率（%）</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项目实际完成时间与计划完成时间的比较，用以反映和考核项目产出时效目标的实现程度。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实际完成时间：项目实施单位完成该项目实际所耗用的时间。</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highlight w:val="yellow"/>
              </w:rPr>
              <w:t>产出成本</w:t>
            </w:r>
          </w:p>
        </w:tc>
        <w:tc>
          <w:tcPr>
            <w:tcW w:w="1411" w:type="dxa"/>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购置学生微机房成本</w:t>
            </w:r>
          </w:p>
        </w:tc>
        <w:tc>
          <w:tcPr>
            <w:tcW w:w="2789"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完成项目计划工作目标的实际节约成本与计划成本的比率，用以反映和考核项目的成本节约程度。</w:t>
            </w:r>
          </w:p>
        </w:tc>
        <w:tc>
          <w:tcPr>
            <w:tcW w:w="7341"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成本节约率=[（计划成本-实际成本）/计划成本]×100%。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实际成本：项目实施单位如期、保质、保量完成既定工作目标实际所耗费的支出。</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6" w:hRule="atLeast"/>
          <w:jc w:val="center"/>
        </w:trPr>
        <w:tc>
          <w:tcPr>
            <w:tcW w:w="1155" w:type="dxa"/>
            <w:vMerge w:val="continue"/>
            <w:tcBorders>
              <w:tl2br w:val="nil"/>
              <w:tr2bl w:val="nil"/>
            </w:tcBorders>
            <w:shd w:val="clear" w:color="auto" w:fill="FFFFFF"/>
            <w:vAlign w:val="center"/>
          </w:tcPr>
          <w:p>
            <w:pPr>
              <w:keepNext w:val="0"/>
              <w:keepLines w:val="0"/>
              <w:widowControl/>
              <w:suppressLineNumbers w:val="0"/>
              <w:ind w:firstLine="560" w:firstLineChars="200"/>
              <w:jc w:val="left"/>
              <w:textAlignment w:val="center"/>
            </w:pPr>
          </w:p>
        </w:tc>
        <w:tc>
          <w:tcPr>
            <w:tcW w:w="1199" w:type="dxa"/>
            <w:vMerge w:val="continue"/>
            <w:tcBorders>
              <w:tl2br w:val="nil"/>
              <w:tr2bl w:val="nil"/>
            </w:tcBorders>
            <w:shd w:val="clear" w:color="auto" w:fill="FFFFFF"/>
            <w:vAlign w:val="center"/>
          </w:tcPr>
          <w:p>
            <w:pPr>
              <w:keepNext w:val="0"/>
              <w:keepLines w:val="0"/>
              <w:widowControl/>
              <w:suppressLineNumbers w:val="0"/>
              <w:ind w:firstLine="560" w:firstLineChars="200"/>
              <w:jc w:val="left"/>
              <w:textAlignment w:val="center"/>
            </w:pPr>
          </w:p>
        </w:tc>
        <w:tc>
          <w:tcPr>
            <w:tcW w:w="1411" w:type="dxa"/>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北门校区购置教师用电脑成本</w:t>
            </w:r>
          </w:p>
        </w:tc>
        <w:tc>
          <w:tcPr>
            <w:tcW w:w="2789" w:type="dxa"/>
            <w:vMerge w:val="continue"/>
            <w:tcBorders>
              <w:tl2br w:val="nil"/>
              <w:tr2bl w:val="nil"/>
            </w:tcBorders>
            <w:shd w:val="clear" w:color="000000"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p>
        </w:tc>
        <w:tc>
          <w:tcPr>
            <w:tcW w:w="7341" w:type="dxa"/>
            <w:vMerge w:val="continue"/>
            <w:tcBorders>
              <w:tl2br w:val="nil"/>
              <w:tr2bl w:val="nil"/>
            </w:tcBorders>
            <w:shd w:val="clear" w:color="000000"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6" w:hRule="atLeast"/>
          <w:jc w:val="center"/>
        </w:trPr>
        <w:tc>
          <w:tcPr>
            <w:tcW w:w="1155" w:type="dxa"/>
            <w:vMerge w:val="continue"/>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p>
        </w:tc>
        <w:tc>
          <w:tcPr>
            <w:tcW w:w="1199" w:type="dxa"/>
            <w:vMerge w:val="continue"/>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p>
        </w:tc>
        <w:tc>
          <w:tcPr>
            <w:tcW w:w="1411" w:type="dxa"/>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LED显示屏项目成本</w:t>
            </w:r>
          </w:p>
        </w:tc>
        <w:tc>
          <w:tcPr>
            <w:tcW w:w="2789" w:type="dxa"/>
            <w:vMerge w:val="continue"/>
            <w:tcBorders>
              <w:tl2br w:val="nil"/>
              <w:tr2bl w:val="nil"/>
            </w:tcBorders>
            <w:shd w:val="clear" w:color="000000"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p>
        </w:tc>
        <w:tc>
          <w:tcPr>
            <w:tcW w:w="7341" w:type="dxa"/>
            <w:vMerge w:val="continue"/>
            <w:tcBorders>
              <w:tl2br w:val="nil"/>
              <w:tr2bl w:val="nil"/>
            </w:tcBorders>
            <w:shd w:val="clear" w:color="000000"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36" w:hRule="atLeast"/>
          <w:jc w:val="center"/>
        </w:trPr>
        <w:tc>
          <w:tcPr>
            <w:tcW w:w="1155" w:type="dxa"/>
            <w:vMerge w:val="continue"/>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p>
        </w:tc>
        <w:tc>
          <w:tcPr>
            <w:tcW w:w="1199" w:type="dxa"/>
            <w:vMerge w:val="continue"/>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p>
        </w:tc>
        <w:tc>
          <w:tcPr>
            <w:tcW w:w="1411" w:type="dxa"/>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绿谷校区视频监控及存储服务器扩容系统成本</w:t>
            </w:r>
          </w:p>
        </w:tc>
        <w:tc>
          <w:tcPr>
            <w:tcW w:w="2789" w:type="dxa"/>
            <w:vMerge w:val="continue"/>
            <w:tcBorders>
              <w:tl2br w:val="nil"/>
              <w:tr2bl w:val="nil"/>
            </w:tcBorders>
            <w:shd w:val="clear" w:color="000000"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p>
        </w:tc>
        <w:tc>
          <w:tcPr>
            <w:tcW w:w="7341" w:type="dxa"/>
            <w:vMerge w:val="continue"/>
            <w:tcBorders>
              <w:tl2br w:val="nil"/>
              <w:tr2bl w:val="nil"/>
            </w:tcBorders>
            <w:shd w:val="clear" w:color="000000"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36" w:hRule="atLeast"/>
          <w:jc w:val="center"/>
        </w:trPr>
        <w:tc>
          <w:tcPr>
            <w:tcW w:w="1155" w:type="dxa"/>
            <w:vMerge w:val="continue"/>
            <w:tcBorders>
              <w:tl2br w:val="nil"/>
              <w:tr2bl w:val="nil"/>
            </w:tcBorders>
            <w:shd w:val="clear" w:color="auto" w:fill="FFFFFF"/>
            <w:vAlign w:val="center"/>
          </w:tcPr>
          <w:p>
            <w:pPr>
              <w:keepNext w:val="0"/>
              <w:keepLines w:val="0"/>
              <w:widowControl/>
              <w:suppressLineNumbers w:val="0"/>
              <w:ind w:firstLine="560" w:firstLineChars="200"/>
              <w:jc w:val="left"/>
              <w:textAlignment w:val="center"/>
            </w:pPr>
          </w:p>
        </w:tc>
        <w:tc>
          <w:tcPr>
            <w:tcW w:w="1199" w:type="dxa"/>
            <w:vMerge w:val="continue"/>
            <w:tcBorders>
              <w:tl2br w:val="nil"/>
              <w:tr2bl w:val="nil"/>
            </w:tcBorders>
            <w:shd w:val="clear" w:color="auto" w:fill="FFFFFF"/>
            <w:vAlign w:val="center"/>
          </w:tcPr>
          <w:p>
            <w:pPr>
              <w:keepNext w:val="0"/>
              <w:keepLines w:val="0"/>
              <w:widowControl/>
              <w:suppressLineNumbers w:val="0"/>
              <w:ind w:firstLine="560" w:firstLineChars="200"/>
              <w:jc w:val="left"/>
              <w:textAlignment w:val="center"/>
            </w:pPr>
          </w:p>
        </w:tc>
        <w:tc>
          <w:tcPr>
            <w:tcW w:w="1411" w:type="dxa"/>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河马泉校区设备购置项目成本</w:t>
            </w:r>
          </w:p>
        </w:tc>
        <w:tc>
          <w:tcPr>
            <w:tcW w:w="2789" w:type="dxa"/>
            <w:vMerge w:val="continue"/>
            <w:tcBorders>
              <w:tl2br w:val="nil"/>
              <w:tr2bl w:val="nil"/>
            </w:tcBorders>
            <w:shd w:val="clear" w:color="000000"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p>
        </w:tc>
        <w:tc>
          <w:tcPr>
            <w:tcW w:w="7341" w:type="dxa"/>
            <w:vMerge w:val="continue"/>
            <w:tcBorders>
              <w:tl2br w:val="nil"/>
              <w:tr2bl w:val="nil"/>
            </w:tcBorders>
            <w:shd w:val="clear" w:color="000000"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yellow"/>
              </w:rPr>
            </w:pPr>
            <w:r>
              <w:rPr>
                <w:rFonts w:hint="eastAsia" w:ascii="宋体" w:hAnsi="宋体" w:eastAsia="宋体" w:cs="宋体"/>
                <w:color w:val="000000"/>
                <w:kern w:val="0"/>
                <w:sz w:val="22"/>
                <w:highlight w:val="yellow"/>
              </w:rPr>
              <w:t>效益</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highlight w:val="yellow"/>
              </w:rPr>
              <w:t>社会效益指标</w:t>
            </w:r>
          </w:p>
        </w:tc>
        <w:tc>
          <w:tcPr>
            <w:tcW w:w="1411" w:type="dxa"/>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设备购置，更好地满足教育教学需求。</w:t>
            </w:r>
          </w:p>
        </w:tc>
        <w:tc>
          <w:tcPr>
            <w:tcW w:w="2789" w:type="dxa"/>
            <w:vMerge w:val="restart"/>
            <w:tcBorders>
              <w:tl2br w:val="nil"/>
              <w:tr2bl w:val="nil"/>
            </w:tcBorders>
            <w:shd w:val="clear" w:color="auto"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项目实施所产生的效益。</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yellow"/>
              </w:rPr>
            </w:pPr>
            <w:r>
              <w:rPr>
                <w:rFonts w:ascii="宋体" w:hAnsi="宋体" w:eastAsia="宋体" w:cs="宋体"/>
                <w:color w:val="000000"/>
                <w:kern w:val="0"/>
                <w:sz w:val="22"/>
                <w:highlight w:val="yellow"/>
              </w:rPr>
              <w:t>满意度指标完成情况分析</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highlight w:val="yellow"/>
              </w:rPr>
              <w:t>满意度指标</w:t>
            </w:r>
          </w:p>
        </w:tc>
        <w:tc>
          <w:tcPr>
            <w:tcW w:w="1411" w:type="dxa"/>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教师、学生对项目的综合满意度</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社会公众或服务对象对项目实施效果的满意程度。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社会公众或服务对象是指因该项目实施而受到影响的部门（单位）、群体或个人。一般采取社会调查的方式。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yellow"/>
              </w:rPr>
            </w:pP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yellow"/>
              </w:rPr>
            </w:pPr>
          </w:p>
        </w:tc>
        <w:tc>
          <w:tcPr>
            <w:tcW w:w="1411" w:type="dxa"/>
            <w:tcBorders>
              <w:tl2br w:val="nil"/>
              <w:tr2bl w:val="nil"/>
            </w:tcBorders>
            <w:shd w:val="clear" w:color="auto" w:fill="FFFFFF"/>
            <w:vAlign w:val="center"/>
          </w:tcPr>
          <w:p>
            <w:pPr>
              <w:keepNext w:val="0"/>
              <w:keepLines w:val="0"/>
              <w:widowControl/>
              <w:suppressLineNumbers w:val="0"/>
              <w:ind w:firstLine="400" w:firstLineChars="200"/>
              <w:jc w:val="left"/>
              <w:textAlignment w:val="center"/>
              <w:rPr>
                <w:rFonts w:hint="eastAsia" w:ascii="宋体" w:hAnsi="宋体" w:eastAsia="宋体" w:cs="宋体"/>
                <w:i w:val="0"/>
                <w:iCs w:val="0"/>
                <w:color w:val="000000"/>
                <w:kern w:val="2"/>
                <w:sz w:val="20"/>
                <w:szCs w:val="20"/>
                <w:u w:val="none"/>
                <w:lang w:val="en-US" w:eastAsia="zh-CN" w:bidi="ar-SA"/>
              </w:rPr>
            </w:pP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bl>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sectPr>
          <w:footnotePr>
            <w:numFmt w:val="decimalEnclosedCircleChinese"/>
          </w:footnotePr>
          <w:pgSz w:w="16838" w:h="11906" w:orient="landscape"/>
          <w:pgMar w:top="1800" w:right="1440" w:bottom="1800" w:left="1440" w:header="1276" w:footer="992" w:gutter="0"/>
          <w:cols w:space="425" w:num="1"/>
          <w:docGrid w:type="lines" w:linePitch="381" w:charSpace="0"/>
        </w:sectPr>
      </w:pPr>
    </w:p>
    <w:p>
      <w:pPr>
        <w:pStyle w:val="4"/>
        <w:ind w:firstLine="643"/>
      </w:pPr>
      <w:bookmarkStart w:id="22" w:name="_Toc165277234"/>
      <w:bookmarkStart w:id="23" w:name="_Hlk67586038"/>
      <w:r>
        <w:t>3.</w:t>
      </w:r>
      <w:r>
        <w:rPr>
          <w:rFonts w:hint="eastAsia"/>
        </w:rPr>
        <w:t>评价方法</w:t>
      </w:r>
      <w:bookmarkEnd w:id="22"/>
    </w:p>
    <w:bookmarkEnd w:id="23"/>
    <w:p>
      <w:pPr>
        <w:spacing w:line="360" w:lineRule="auto"/>
        <w:ind w:firstLine="560"/>
        <w:rPr>
          <w:rFonts w:ascii="仿宋_GB2312"/>
        </w:rPr>
      </w:pPr>
      <w:r>
        <w:rPr>
          <w:rFonts w:hint="eastAsia" w:ascii="仿宋_GB2312"/>
        </w:rPr>
        <w:t>《关于印发&lt;项目支出绩效评价管理办法&gt;的通知》（财预〔2020〕10号）文件指出部门评价的方法主要包括成本效益分析法、比较法、因素分析法、最低成本法、公众评判法、标杆管理法等。</w:t>
      </w:r>
    </w:p>
    <w:p>
      <w:pPr>
        <w:spacing w:line="360" w:lineRule="auto"/>
        <w:ind w:firstLine="560"/>
        <w:rPr>
          <w:rFonts w:ascii="仿宋_GB2312"/>
        </w:rPr>
      </w:pPr>
      <w:r>
        <w:rPr>
          <w:rFonts w:hint="eastAsia" w:ascii="仿宋_GB2312"/>
        </w:rPr>
        <w:t>（1）成本效益分析法。是指将投入与产出、效益进行关联性分析的方法。</w:t>
      </w:r>
    </w:p>
    <w:p>
      <w:pPr>
        <w:spacing w:line="360" w:lineRule="auto"/>
        <w:ind w:firstLine="560"/>
        <w:rPr>
          <w:rFonts w:ascii="仿宋_GB2312"/>
        </w:rPr>
      </w:pPr>
      <w:r>
        <w:rPr>
          <w:rFonts w:hint="eastAsia" w:ascii="仿宋_GB2312"/>
        </w:rPr>
        <w:t>（2）比较法。是指将实施情况与绩效目标、历史情况、不同部门和地区同类支出情况进行比较的方法。</w:t>
      </w:r>
    </w:p>
    <w:p>
      <w:pPr>
        <w:spacing w:line="360" w:lineRule="auto"/>
        <w:ind w:firstLine="560"/>
        <w:rPr>
          <w:rFonts w:ascii="仿宋_GB2312"/>
        </w:rPr>
      </w:pPr>
      <w:r>
        <w:rPr>
          <w:rFonts w:hint="eastAsia" w:ascii="仿宋_GB2312"/>
        </w:rPr>
        <w:t>（3）因素分析法。是指综合分析影响绩效目标实现、实施效果的内外部因素的方法。</w:t>
      </w:r>
    </w:p>
    <w:p>
      <w:pPr>
        <w:spacing w:line="360" w:lineRule="auto"/>
        <w:ind w:firstLine="560"/>
        <w:rPr>
          <w:rFonts w:ascii="仿宋_GB2312"/>
        </w:rPr>
      </w:pPr>
      <w:r>
        <w:rPr>
          <w:rFonts w:hint="eastAsia" w:ascii="仿宋_GB2312"/>
        </w:rPr>
        <w:t>（4）最低成本法。是指在绩效目标确定的前提下，成本最小者为优的方法。</w:t>
      </w:r>
    </w:p>
    <w:p>
      <w:pPr>
        <w:spacing w:line="360" w:lineRule="auto"/>
        <w:ind w:firstLine="560"/>
        <w:rPr>
          <w:rFonts w:ascii="仿宋_GB2312"/>
        </w:rPr>
      </w:pPr>
      <w:r>
        <w:rPr>
          <w:rFonts w:hint="eastAsia" w:ascii="仿宋_GB2312"/>
        </w:rPr>
        <w:t>（5）公众评判法。是指通过专家评估、公众问卷及抽样调查等方式进行评判的方法。</w:t>
      </w:r>
    </w:p>
    <w:p>
      <w:pPr>
        <w:spacing w:line="360" w:lineRule="auto"/>
        <w:ind w:firstLine="560"/>
        <w:rPr>
          <w:rFonts w:ascii="仿宋_GB2312"/>
        </w:rPr>
      </w:pPr>
      <w:r>
        <w:rPr>
          <w:rFonts w:hint="eastAsia" w:ascii="仿宋_GB2312"/>
        </w:rPr>
        <w:t>（6）标杆管理法。是指以国内外同行业中较高的绩效水平为标杆进行评判的方法。</w:t>
      </w:r>
    </w:p>
    <w:p>
      <w:pPr>
        <w:spacing w:line="360" w:lineRule="auto"/>
        <w:ind w:firstLine="560"/>
        <w:rPr>
          <w:rFonts w:ascii="仿宋_GB2312"/>
        </w:rPr>
      </w:pPr>
      <w:r>
        <w:rPr>
          <w:rFonts w:hint="eastAsia" w:ascii="仿宋_GB2312"/>
        </w:rPr>
        <w:t>（7）其他评价方法。</w:t>
      </w:r>
    </w:p>
    <w:p>
      <w:pPr>
        <w:spacing w:line="360" w:lineRule="auto"/>
        <w:ind w:firstLine="560"/>
        <w:rPr>
          <w:rFonts w:ascii="仿宋_GB2312"/>
        </w:rPr>
      </w:pPr>
      <w:r>
        <w:rPr>
          <w:rFonts w:hint="eastAsia" w:ascii="仿宋_GB2312"/>
        </w:rPr>
        <w:t>根据本项目（</w:t>
      </w:r>
      <w:r>
        <w:rPr>
          <w:rFonts w:hint="eastAsia" w:ascii="仿宋_GB2312"/>
          <w:lang w:val="en-US" w:eastAsia="zh-CN"/>
        </w:rPr>
        <w:t>设备购置项目）</w:t>
      </w:r>
      <w:r>
        <w:rPr>
          <w:rFonts w:hint="eastAsia" w:ascii="仿宋_GB2312"/>
        </w:rPr>
        <w:t>特点，本次评价主要采用</w:t>
      </w:r>
      <w:r>
        <w:rPr>
          <w:rFonts w:hint="eastAsia" w:ascii="仿宋_GB2312"/>
          <w:lang w:val="en-US" w:eastAsia="zh-CN"/>
        </w:rPr>
        <w:t>比较法</w:t>
      </w:r>
      <w:r>
        <w:rPr>
          <w:rFonts w:ascii="仿宋_GB2312"/>
        </w:rPr>
        <w:t>和</w:t>
      </w:r>
      <w:r>
        <w:rPr>
          <w:rFonts w:hint="eastAsia" w:ascii="仿宋_GB2312"/>
          <w:lang w:val="en-US" w:eastAsia="zh-CN"/>
        </w:rPr>
        <w:t>公众评判法</w:t>
      </w:r>
      <w:r>
        <w:rPr>
          <w:rFonts w:hint="eastAsia" w:ascii="仿宋_GB2312"/>
        </w:rPr>
        <w:t>，对项目总预算和明细预算的内容、标准、计划是否经济合理进行深入分析，以考察实际产出和效益是否达到预期。</w:t>
      </w:r>
    </w:p>
    <w:p>
      <w:pPr>
        <w:pStyle w:val="4"/>
        <w:ind w:firstLine="643"/>
      </w:pPr>
      <w:bookmarkStart w:id="24" w:name="_Toc165277235"/>
      <w:r>
        <w:t>4.</w:t>
      </w:r>
      <w:r>
        <w:rPr>
          <w:rFonts w:hint="eastAsia"/>
        </w:rPr>
        <w:t>评价标准</w:t>
      </w:r>
      <w:bookmarkEnd w:id="24"/>
    </w:p>
    <w:p>
      <w:pPr>
        <w:spacing w:line="360" w:lineRule="auto"/>
        <w:ind w:firstLine="560"/>
        <w:rPr>
          <w:rFonts w:ascii="仿宋_GB2312"/>
        </w:rPr>
      </w:pPr>
      <w:r>
        <w:rPr>
          <w:rFonts w:hint="eastAsia" w:ascii="仿宋_GB2312"/>
        </w:rPr>
        <w:t>绩效评价标准主要包括计划标准、行业标准、历史标准等，用于对绩效指标完成情况进行比较。</w:t>
      </w:r>
    </w:p>
    <w:p>
      <w:pPr>
        <w:spacing w:line="360" w:lineRule="auto"/>
        <w:ind w:firstLine="560"/>
        <w:rPr>
          <w:rFonts w:ascii="仿宋_GB2312"/>
        </w:rPr>
      </w:pPr>
      <w:r>
        <w:rPr>
          <w:rFonts w:hint="eastAsia" w:ascii="仿宋_GB2312"/>
        </w:rPr>
        <w:t>（1）计划标准。指以预先制定的目标、计划、预算、定额等作为评价标准。</w:t>
      </w:r>
    </w:p>
    <w:p>
      <w:pPr>
        <w:spacing w:line="360" w:lineRule="auto"/>
        <w:ind w:firstLine="560"/>
        <w:rPr>
          <w:rFonts w:ascii="仿宋_GB2312"/>
        </w:rPr>
      </w:pPr>
      <w:r>
        <w:rPr>
          <w:rFonts w:hint="eastAsia" w:ascii="仿宋_GB2312"/>
        </w:rPr>
        <w:t>（2）行业标准。指参照国家公布的行业指标数据制定的评价标准。</w:t>
      </w:r>
    </w:p>
    <w:p>
      <w:pPr>
        <w:spacing w:line="360" w:lineRule="auto"/>
        <w:ind w:firstLine="560"/>
        <w:rPr>
          <w:rFonts w:ascii="仿宋_GB2312"/>
        </w:rPr>
      </w:pPr>
      <w:r>
        <w:rPr>
          <w:rFonts w:hint="eastAsia" w:ascii="仿宋_GB2312"/>
        </w:rPr>
        <w:t>（3）历史标准。指参照历史数据制定的评价标准，为体现绩效改进的原则，在可实现的条件下应当确定相对较高的评价标准。</w:t>
      </w:r>
    </w:p>
    <w:p>
      <w:pPr>
        <w:spacing w:line="360" w:lineRule="auto"/>
        <w:ind w:firstLine="560"/>
        <w:rPr>
          <w:rFonts w:ascii="仿宋_GB2312"/>
        </w:rPr>
      </w:pPr>
      <w:r>
        <w:rPr>
          <w:rFonts w:hint="eastAsia" w:ascii="仿宋_GB2312"/>
        </w:rPr>
        <w:t>在上述评价标准的基础上，本次评价依据以下文件为重要指导和准绳：</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w:t>
      </w:r>
      <w:r>
        <w:rPr>
          <w:rFonts w:hint="eastAsia" w:ascii="仿宋_GB2312"/>
          <w:lang w:eastAsia="zh-CN"/>
        </w:rPr>
        <w:t>中共中央 国务院</w:t>
      </w:r>
      <w:r>
        <w:rPr>
          <w:rFonts w:hint="eastAsia" w:ascii="仿宋_GB2312"/>
        </w:rPr>
        <w:t>关于全面实施预算绩效管理的意见》（中发〔2018〕34号）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《关于印发&lt;乌鲁木齐市本级部门预算绩效目标管理暂行办法&gt;的通知》（乌财预〔2018〕56号）</w:t>
      </w:r>
    </w:p>
    <w:p>
      <w:pPr>
        <w:spacing w:line="360" w:lineRule="auto"/>
        <w:ind w:firstLine="560" w:firstLineChars="0"/>
        <w:rPr>
          <w:rFonts w:ascii="仿宋_GB2312"/>
          <w:highlight w:val="none"/>
        </w:rPr>
      </w:pPr>
      <w:r>
        <w:rPr>
          <w:rFonts w:hint="eastAsia" w:ascii="黑体" w:hAnsi="黑体" w:eastAsia="黑体" w:cs="Times New Roman"/>
          <w:szCs w:val="28"/>
          <w:highlight w:val="none"/>
        </w:rPr>
        <w:t>·</w:t>
      </w:r>
      <w:r>
        <w:rPr>
          <w:rFonts w:hint="eastAsia" w:ascii="仿宋_GB2312"/>
          <w:highlight w:val="none"/>
        </w:rPr>
        <w:t>《关于做好2019年部门预算项目支出绩效目标管理有关事宜的通知》（乌财预〔2018〕76号）</w:t>
      </w:r>
    </w:p>
    <w:p>
      <w:pPr>
        <w:spacing w:line="360" w:lineRule="auto"/>
        <w:ind w:firstLine="560"/>
        <w:rPr>
          <w:rFonts w:hint="eastAsia" w:ascii="仿宋_GB2312"/>
          <w:highlight w:val="none"/>
        </w:rPr>
      </w:pPr>
      <w:r>
        <w:rPr>
          <w:rFonts w:hint="eastAsia" w:ascii="黑体" w:hAnsi="黑体" w:eastAsia="黑体" w:cs="Times New Roman"/>
          <w:szCs w:val="28"/>
          <w:highlight w:val="none"/>
        </w:rPr>
        <w:t>·</w:t>
      </w:r>
      <w:r>
        <w:rPr>
          <w:rFonts w:hint="eastAsia" w:ascii="仿宋_GB2312"/>
          <w:highlight w:val="none"/>
        </w:rPr>
        <w:t>《项目支出绩效评价管理办法》（财预〔2020〕10号）</w:t>
      </w:r>
    </w:p>
    <w:p>
      <w:pPr>
        <w:spacing w:line="360" w:lineRule="auto"/>
        <w:ind w:firstLine="560"/>
        <w:rPr>
          <w:rFonts w:hint="eastAsia" w:ascii="仿宋_GB2312"/>
        </w:rPr>
      </w:pPr>
      <w:r>
        <w:rPr>
          <w:rFonts w:hint="eastAsia" w:ascii="仿宋_GB2312"/>
        </w:rPr>
        <w:t>•《关于对</w:t>
      </w:r>
      <w:r>
        <w:rPr>
          <w:rFonts w:hint="eastAsia" w:ascii="仿宋_GB2312"/>
          <w:lang w:val="en-US" w:eastAsia="zh-CN"/>
        </w:rPr>
        <w:t>乌鲁木齐市第一中学水磨沟区河马泉校区建设项目立项的批复</w:t>
      </w:r>
      <w:r>
        <w:rPr>
          <w:rFonts w:hint="eastAsia" w:ascii="仿宋_GB2312"/>
        </w:rPr>
        <w:t>》（乌发改函〔2019〕</w:t>
      </w:r>
      <w:r>
        <w:rPr>
          <w:rFonts w:hint="eastAsia" w:ascii="仿宋_GB2312"/>
          <w:lang w:val="en-US" w:eastAsia="zh-CN"/>
        </w:rPr>
        <w:t>143</w:t>
      </w:r>
      <w:r>
        <w:rPr>
          <w:rFonts w:hint="eastAsia" w:ascii="仿宋_GB2312"/>
        </w:rPr>
        <w:t>号）</w:t>
      </w:r>
    </w:p>
    <w:p>
      <w:pPr>
        <w:spacing w:line="360" w:lineRule="auto"/>
        <w:ind w:firstLine="560"/>
        <w:rPr>
          <w:rFonts w:hint="eastAsia" w:ascii="仿宋_GB2312"/>
        </w:rPr>
      </w:pPr>
      <w:r>
        <w:rPr>
          <w:rFonts w:hint="eastAsia" w:ascii="仿宋_GB2312"/>
        </w:rPr>
        <w:t>•《关于下达2023年教育系统（第二批）资金预算的通知》（乌财建</w:t>
      </w:r>
      <w:r>
        <w:rPr>
          <w:rFonts w:hint="eastAsia" w:ascii="仿宋_GB2312"/>
          <w:lang w:eastAsia="zh-CN"/>
        </w:rPr>
        <w:t>〔2023〕</w:t>
      </w:r>
      <w:r>
        <w:rPr>
          <w:rFonts w:hint="eastAsia" w:ascii="仿宋_GB2312"/>
        </w:rPr>
        <w:t>331号）</w:t>
      </w:r>
    </w:p>
    <w:p>
      <w:pPr>
        <w:spacing w:line="360" w:lineRule="auto"/>
        <w:ind w:firstLine="560"/>
        <w:rPr>
          <w:rFonts w:hint="eastAsia" w:ascii="仿宋_GB2312"/>
        </w:rPr>
      </w:pPr>
      <w:r>
        <w:rPr>
          <w:rFonts w:hint="eastAsia" w:ascii="仿宋_GB2312"/>
        </w:rPr>
        <w:t>•《关于下达2023年教育系统（第一批）资金预算的通知》（乌财建〔2023〕280号）</w:t>
      </w:r>
    </w:p>
    <w:p>
      <w:pPr>
        <w:spacing w:line="360" w:lineRule="auto"/>
        <w:ind w:firstLine="560"/>
        <w:rPr>
          <w:rFonts w:hint="eastAsia" w:ascii="仿宋_GB2312"/>
          <w:highlight w:val="yellow"/>
        </w:rPr>
      </w:pPr>
    </w:p>
    <w:p>
      <w:pPr>
        <w:spacing w:line="360" w:lineRule="auto"/>
        <w:ind w:firstLine="560"/>
        <w:rPr>
          <w:rFonts w:ascii="仿宋_GB2312"/>
        </w:rPr>
      </w:pPr>
    </w:p>
    <w:p>
      <w:pPr>
        <w:pStyle w:val="3"/>
        <w:ind w:firstLine="643"/>
        <w:rPr>
          <w:rFonts w:ascii="仿宋" w:hAnsi="仿宋" w:eastAsia="仿宋"/>
          <w:lang w:bidi="en-US"/>
        </w:rPr>
      </w:pPr>
      <w:bookmarkStart w:id="25" w:name="_Toc165277236"/>
      <w:bookmarkStart w:id="26" w:name="_Toc67911607"/>
      <w:r>
        <w:rPr>
          <w:rFonts w:hint="eastAsia" w:ascii="仿宋" w:hAnsi="仿宋" w:eastAsia="仿宋"/>
          <w:lang w:bidi="en-US"/>
        </w:rPr>
        <w:t>（三）绩效评价工作过程</w:t>
      </w:r>
      <w:bookmarkEnd w:id="25"/>
      <w:bookmarkEnd w:id="26"/>
    </w:p>
    <w:p>
      <w:pPr>
        <w:spacing w:line="360" w:lineRule="auto"/>
        <w:ind w:firstLine="560"/>
        <w:rPr>
          <w:rFonts w:ascii="仿宋_GB2312"/>
        </w:rPr>
      </w:pPr>
      <w:r>
        <w:rPr>
          <w:rFonts w:hint="eastAsia" w:ascii="仿宋_GB231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20"/>
          <w:rFonts w:ascii="仿宋_GB2312"/>
        </w:rPr>
        <w:footnoteReference w:id="0"/>
      </w:r>
      <w:r>
        <w:rPr>
          <w:rFonts w:hint="eastAsia" w:ascii="仿宋_GB2312"/>
        </w:rPr>
        <w:t>、材料审核分析、现场核查评价、综合分析评价及报告撰写，评价项目实施情况，展现资金使用效益。</w:t>
      </w:r>
    </w:p>
    <w:p>
      <w:pPr>
        <w:pStyle w:val="2"/>
        <w:ind w:firstLine="0" w:firstLineChars="0"/>
        <w:jc w:val="left"/>
        <w:rPr>
          <w:rFonts w:ascii="仿宋" w:hAnsi="仿宋" w:eastAsia="仿宋"/>
          <w:sz w:val="36"/>
          <w:szCs w:val="36"/>
          <w:lang w:bidi="en-US"/>
        </w:rPr>
      </w:pPr>
      <w:bookmarkStart w:id="27" w:name="_Toc165277237"/>
      <w:bookmarkStart w:id="28" w:name="_Toc67911608"/>
      <w:r>
        <w:rPr>
          <w:rFonts w:hint="eastAsia" w:ascii="仿宋" w:hAnsi="仿宋" w:eastAsia="仿宋"/>
          <w:sz w:val="36"/>
          <w:szCs w:val="36"/>
          <w:lang w:bidi="en-US"/>
        </w:rPr>
        <w:t>三、综合评价情况及评价结论</w:t>
      </w:r>
      <w:bookmarkEnd w:id="27"/>
      <w:bookmarkEnd w:id="28"/>
    </w:p>
    <w:p>
      <w:pPr>
        <w:pStyle w:val="3"/>
        <w:ind w:firstLine="643"/>
        <w:rPr>
          <w:rFonts w:ascii="仿宋" w:hAnsi="仿宋" w:eastAsia="仿宋"/>
          <w:lang w:bidi="en-US"/>
        </w:rPr>
      </w:pPr>
      <w:bookmarkStart w:id="29" w:name="_Toc67911609"/>
      <w:bookmarkStart w:id="30" w:name="_Toc165277238"/>
      <w:r>
        <w:rPr>
          <w:rFonts w:hint="eastAsia" w:ascii="仿宋" w:hAnsi="仿宋" w:eastAsia="仿宋"/>
          <w:lang w:bidi="en-US"/>
        </w:rPr>
        <w:t>（一）评价结论</w:t>
      </w:r>
      <w:bookmarkEnd w:id="29"/>
      <w:bookmarkEnd w:id="30"/>
    </w:p>
    <w:p>
      <w:pPr>
        <w:spacing w:line="360" w:lineRule="auto"/>
        <w:ind w:firstLine="560"/>
        <w:rPr>
          <w:rFonts w:ascii="仿宋_GB2312"/>
          <w:szCs w:val="28"/>
          <w:highlight w:val="none"/>
        </w:rPr>
      </w:pPr>
      <w:r>
        <w:rPr>
          <w:rFonts w:hint="eastAsia" w:ascii="仿宋_GB2312"/>
          <w:szCs w:val="28"/>
        </w:rPr>
        <w:t>结合项目特点，制定符合项目实际的绩效评价指标体系及评分标准，通过数据采集、问卷调查及访谈等形式，对2</w:t>
      </w:r>
      <w:r>
        <w:rPr>
          <w:rFonts w:ascii="仿宋_GB2312"/>
          <w:szCs w:val="28"/>
        </w:rPr>
        <w:t>023</w:t>
      </w:r>
      <w:r>
        <w:rPr>
          <w:rFonts w:hint="eastAsia" w:ascii="仿宋_GB2312"/>
          <w:szCs w:val="28"/>
        </w:rPr>
        <w:t>年</w:t>
      </w:r>
      <w:r>
        <w:rPr>
          <w:rFonts w:hint="eastAsia" w:ascii="仿宋_GB2312"/>
          <w:szCs w:val="28"/>
          <w:lang w:val="en-US" w:eastAsia="zh-CN"/>
        </w:rPr>
        <w:t>设备购置项目</w:t>
      </w:r>
      <w:r>
        <w:rPr>
          <w:rFonts w:hint="eastAsia" w:ascii="仿宋_GB2312"/>
          <w:szCs w:val="28"/>
        </w:rPr>
        <w:t>进行客观评价，最终评分结果为：总分为</w:t>
      </w:r>
      <w:r>
        <w:rPr>
          <w:rFonts w:hint="eastAsia" w:ascii="仿宋_GB2312"/>
          <w:szCs w:val="28"/>
          <w:lang w:val="en-US" w:eastAsia="zh-CN"/>
        </w:rPr>
        <w:t>83.74</w:t>
      </w:r>
      <w:r>
        <w:rPr>
          <w:rFonts w:hint="eastAsia" w:ascii="仿宋_GB2312"/>
          <w:szCs w:val="28"/>
        </w:rPr>
        <w:t>分，绩效评级为“</w:t>
      </w:r>
      <w:r>
        <w:rPr>
          <w:rFonts w:hint="eastAsia" w:ascii="仿宋_GB2312"/>
          <w:szCs w:val="28"/>
          <w:lang w:val="en-US" w:eastAsia="zh-CN"/>
        </w:rPr>
        <w:t>良</w:t>
      </w:r>
      <w:r>
        <w:rPr>
          <w:rFonts w:hint="eastAsia" w:ascii="仿宋_GB2312"/>
          <w:szCs w:val="28"/>
        </w:rPr>
        <w:t>”</w:t>
      </w:r>
      <w:r>
        <w:rPr>
          <w:rStyle w:val="20"/>
          <w:rFonts w:ascii="仿宋_GB2312"/>
          <w:szCs w:val="28"/>
        </w:rPr>
        <w:footnoteReference w:id="1"/>
      </w:r>
      <w:r>
        <w:rPr>
          <w:rFonts w:hint="eastAsia" w:ascii="仿宋_GB2312"/>
          <w:szCs w:val="28"/>
        </w:rPr>
        <w:t>。</w:t>
      </w:r>
    </w:p>
    <w:p>
      <w:pPr>
        <w:spacing w:line="360" w:lineRule="auto"/>
        <w:ind w:firstLine="560"/>
        <w:rPr>
          <w:rFonts w:ascii="仿宋_GB2312"/>
          <w:szCs w:val="28"/>
          <w:highlight w:val="none"/>
        </w:rPr>
      </w:pPr>
      <w:r>
        <w:rPr>
          <w:rFonts w:hint="eastAsia" w:ascii="仿宋_GB2312"/>
          <w:szCs w:val="28"/>
          <w:highlight w:val="none"/>
        </w:rPr>
        <w:t>项目各部分权重和绩效分值如附表所示：</w:t>
      </w:r>
    </w:p>
    <w:p>
      <w:pPr>
        <w:spacing w:line="360" w:lineRule="auto"/>
        <w:ind w:firstLine="0" w:firstLineChars="0"/>
        <w:jc w:val="center"/>
        <w:rPr>
          <w:rFonts w:ascii="仿宋_GB2312"/>
          <w:b/>
          <w:bCs/>
          <w:szCs w:val="28"/>
        </w:rPr>
      </w:pPr>
      <w:r>
        <w:rPr>
          <w:rFonts w:ascii="仿宋_GB2312"/>
          <w:b/>
          <w:bCs/>
          <w:szCs w:val="28"/>
        </w:rPr>
        <w:t xml:space="preserve">  </w:t>
      </w:r>
      <w:r>
        <w:rPr>
          <w:rFonts w:hint="eastAsia" w:ascii="仿宋_GB2312"/>
          <w:b/>
          <w:bCs/>
          <w:szCs w:val="28"/>
        </w:rPr>
        <w:t>项目各部分权重和绩效分值</w:t>
      </w:r>
    </w:p>
    <w:tbl>
      <w:tblPr>
        <w:tblStyle w:val="15"/>
        <w:tblW w:w="906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50"/>
        <w:gridCol w:w="1984"/>
        <w:gridCol w:w="2693"/>
        <w:gridCol w:w="898"/>
        <w:gridCol w:w="898"/>
        <w:gridCol w:w="10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tblHeader/>
          <w:jc w:val="center"/>
        </w:trPr>
        <w:tc>
          <w:tcPr>
            <w:tcW w:w="1550"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一级指标</w:t>
            </w:r>
          </w:p>
        </w:tc>
        <w:tc>
          <w:tcPr>
            <w:tcW w:w="1984"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二级指标</w:t>
            </w:r>
          </w:p>
        </w:tc>
        <w:tc>
          <w:tcPr>
            <w:tcW w:w="2693"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三级指标</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分值</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得分</w:t>
            </w:r>
          </w:p>
        </w:tc>
        <w:tc>
          <w:tcPr>
            <w:tcW w:w="1039" w:type="dxa"/>
            <w:tcBorders>
              <w:tl2br w:val="nil"/>
              <w:tr2bl w:val="nil"/>
            </w:tcBorders>
            <w:shd w:val="clear" w:color="auto" w:fill="D0CECE" w:themeFill="background2" w:themeFillShade="E6"/>
            <w:vAlign w:val="center"/>
          </w:tcPr>
          <w:p>
            <w:pPr>
              <w:widowControl/>
              <w:ind w:firstLine="0" w:firstLineChars="0"/>
              <w:jc w:val="center"/>
              <w:rPr>
                <w:rFonts w:ascii="仿宋_GB2312" w:hAnsi="Gungsuh" w:cs="宋体"/>
                <w:b/>
                <w:bCs/>
                <w:kern w:val="0"/>
                <w:sz w:val="24"/>
                <w:szCs w:val="24"/>
              </w:rPr>
            </w:pPr>
            <w:r>
              <w:rPr>
                <w:rFonts w:hint="eastAsia" w:ascii="仿宋_GB2312" w:hAnsi="Gungsuh" w:cs="宋体"/>
                <w:b/>
                <w:bCs/>
                <w:kern w:val="0"/>
                <w:sz w:val="24"/>
                <w:szCs w:val="24"/>
              </w:rPr>
              <w:t>得分率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决策</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项目立项</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立项依据充分性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1039" w:type="dxa"/>
            <w:tcBorders>
              <w:tl2br w:val="nil"/>
              <w:tr2bl w:val="nil"/>
            </w:tcBorders>
            <w:shd w:val="clear" w:color="auto"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立项程序规范性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绩效目标</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绩效目标合理性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绩效指标明确性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资金投入</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预算编制科学性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3</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资金分配合理性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3</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过程</w:t>
            </w: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资金管理</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资金到位率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5</w:t>
            </w:r>
          </w:p>
        </w:tc>
        <w:tc>
          <w:tcPr>
            <w:tcW w:w="1039" w:type="dxa"/>
            <w:tcBorders>
              <w:tl2br w:val="nil"/>
              <w:tr2bl w:val="nil"/>
            </w:tcBorders>
            <w:shd w:val="clear" w:color="000000" w:fill="FFFFFF"/>
            <w:vAlign w:val="center"/>
          </w:tcPr>
          <w:p>
            <w:pPr>
              <w:widowControl/>
              <w:ind w:firstLine="0" w:firstLineChars="0"/>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预算执行率</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auto"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0.8</w:t>
            </w:r>
          </w:p>
        </w:tc>
        <w:tc>
          <w:tcPr>
            <w:tcW w:w="1039" w:type="dxa"/>
            <w:tcBorders>
              <w:tl2br w:val="nil"/>
              <w:tr2bl w:val="nil"/>
            </w:tcBorders>
            <w:shd w:val="clear" w:color="auto"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资金使用合规性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组织实施</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管理制度健全性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制度执行有效性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highlight w:val="yellow"/>
              </w:rPr>
              <w:t>产出数量</w:t>
            </w:r>
          </w:p>
        </w:tc>
        <w:tc>
          <w:tcPr>
            <w:tcW w:w="2693" w:type="dxa"/>
            <w:tcBorders>
              <w:tl2br w:val="nil"/>
              <w:tr2bl w:val="nil"/>
            </w:tcBorders>
            <w:shd w:val="clear" w:color="auto" w:fill="FFFFFF"/>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学生微机室</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yellow"/>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北门校区购置教师用电脑</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购置LED显示屏</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 w:hRule="atLeast"/>
          <w:jc w:val="center"/>
        </w:trPr>
        <w:tc>
          <w:tcPr>
            <w:tcW w:w="1550" w:type="dxa"/>
            <w:vMerge w:val="continue"/>
            <w:tcBorders>
              <w:tl2br w:val="nil"/>
              <w:tr2bl w:val="nil"/>
            </w:tcBorders>
            <w:shd w:val="clear" w:color="auto" w:fill="FFFFFF"/>
            <w:vAlign w:val="center"/>
          </w:tcPr>
          <w:p>
            <w:pPr>
              <w:widowControl/>
              <w:ind w:firstLine="0" w:firstLineChars="0"/>
              <w:jc w:val="center"/>
            </w:pPr>
          </w:p>
        </w:tc>
        <w:tc>
          <w:tcPr>
            <w:tcW w:w="1984" w:type="dxa"/>
            <w:vMerge w:val="continue"/>
            <w:tcBorders>
              <w:tl2br w:val="nil"/>
              <w:tr2bl w:val="nil"/>
            </w:tcBorders>
            <w:shd w:val="clear" w:color="auto" w:fill="FFFFFF"/>
            <w:vAlign w:val="center"/>
          </w:tcPr>
          <w:p>
            <w:pPr>
              <w:widowControl/>
              <w:ind w:firstLine="0" w:firstLineChars="0"/>
              <w:jc w:val="center"/>
            </w:pPr>
          </w:p>
        </w:tc>
        <w:tc>
          <w:tcPr>
            <w:tcW w:w="2693" w:type="dxa"/>
            <w:tcBorders>
              <w:tl2br w:val="nil"/>
              <w:tr2bl w:val="nil"/>
            </w:tcBorders>
            <w:shd w:val="clear" w:color="auto" w:fill="FFFFFF"/>
          </w:tcPr>
          <w:p>
            <w:pPr>
              <w:widowControl/>
              <w:ind w:firstLine="0" w:firstLineChars="0"/>
              <w:jc w:val="center"/>
              <w:rPr>
                <w:rFonts w:hint="eastAsia" w:ascii="仿宋_GB2312" w:hAnsi="宋体" w:cs="宋体"/>
                <w:kern w:val="0"/>
                <w:sz w:val="24"/>
                <w:szCs w:val="24"/>
                <w:lang w:val="en-US" w:eastAsia="zh-CN"/>
              </w:rPr>
            </w:pPr>
            <w:r>
              <w:rPr>
                <w:rFonts w:hint="eastAsia" w:ascii="仿宋_GB2312" w:hAnsi="宋体" w:cs="宋体"/>
                <w:kern w:val="0"/>
                <w:sz w:val="24"/>
                <w:szCs w:val="24"/>
                <w:lang w:val="en-US" w:eastAsia="zh-CN"/>
              </w:rPr>
              <w:t>绿谷校区购置视频监控及存储服务器扩容系统</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cs="宋体"/>
                <w:kern w:val="0"/>
                <w:sz w:val="24"/>
                <w:szCs w:val="24"/>
                <w:lang w:val="en-US" w:eastAsia="zh-CN"/>
              </w:rPr>
            </w:pPr>
            <w:r>
              <w:rPr>
                <w:rFonts w:hint="eastAsia" w:ascii="仿宋_GB2312" w:hAnsi="宋体" w:cs="宋体"/>
                <w:kern w:val="0"/>
                <w:sz w:val="24"/>
                <w:szCs w:val="24"/>
                <w:lang w:val="en-US" w:eastAsia="zh-CN"/>
              </w:rPr>
              <w:t>4</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cs="宋体"/>
                <w:kern w:val="0"/>
                <w:sz w:val="24"/>
                <w:szCs w:val="24"/>
                <w:lang w:val="en-US" w:eastAsia="zh-CN"/>
              </w:rPr>
            </w:pPr>
            <w:r>
              <w:rPr>
                <w:rFonts w:hint="eastAsia" w:ascii="仿宋_GB2312" w:hAnsi="宋体" w:cs="宋体"/>
                <w:kern w:val="0"/>
                <w:sz w:val="24"/>
                <w:szCs w:val="24"/>
                <w:lang w:val="en-US" w:eastAsia="zh-CN"/>
              </w:rPr>
              <w:t>4</w:t>
            </w:r>
          </w:p>
        </w:tc>
        <w:tc>
          <w:tcPr>
            <w:tcW w:w="1039" w:type="dxa"/>
            <w:tcBorders>
              <w:tl2br w:val="nil"/>
              <w:tr2bl w:val="nil"/>
            </w:tcBorders>
            <w:shd w:val="clear" w:color="000000" w:fill="FFFFFF"/>
            <w:vAlign w:val="center"/>
          </w:tcPr>
          <w:p>
            <w:pPr>
              <w:widowControl/>
              <w:ind w:firstLine="0" w:firstLineChars="0"/>
              <w:jc w:val="center"/>
              <w:rPr>
                <w:rFonts w:hint="eastAsia" w:ascii="仿宋_GB2312" w:hAnsi="宋体" w:cs="宋体"/>
                <w:kern w:val="0"/>
                <w:sz w:val="24"/>
                <w:szCs w:val="24"/>
                <w:lang w:val="en-US" w:eastAsia="zh-CN"/>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 w:hRule="atLeast"/>
          <w:jc w:val="center"/>
        </w:trPr>
        <w:tc>
          <w:tcPr>
            <w:tcW w:w="1550" w:type="dxa"/>
            <w:vMerge w:val="continue"/>
            <w:tcBorders>
              <w:tl2br w:val="nil"/>
              <w:tr2bl w:val="nil"/>
            </w:tcBorders>
            <w:shd w:val="clear" w:color="auto" w:fill="FFFFFF"/>
            <w:vAlign w:val="center"/>
          </w:tcPr>
          <w:p>
            <w:pPr>
              <w:widowControl/>
              <w:ind w:firstLine="0" w:firstLineChars="0"/>
              <w:jc w:val="center"/>
            </w:pPr>
          </w:p>
        </w:tc>
        <w:tc>
          <w:tcPr>
            <w:tcW w:w="1984" w:type="dxa"/>
            <w:vMerge w:val="continue"/>
            <w:tcBorders>
              <w:tl2br w:val="nil"/>
              <w:tr2bl w:val="nil"/>
            </w:tcBorders>
            <w:shd w:val="clear" w:color="auto" w:fill="FFFFFF"/>
            <w:vAlign w:val="center"/>
          </w:tcPr>
          <w:p>
            <w:pPr>
              <w:widowControl/>
              <w:ind w:firstLine="0" w:firstLineChars="0"/>
              <w:jc w:val="center"/>
            </w:pPr>
          </w:p>
        </w:tc>
        <w:tc>
          <w:tcPr>
            <w:tcW w:w="2693" w:type="dxa"/>
            <w:tcBorders>
              <w:tl2br w:val="nil"/>
              <w:tr2bl w:val="nil"/>
            </w:tcBorders>
            <w:shd w:val="clear" w:color="auto" w:fill="FFFFFF"/>
          </w:tcPr>
          <w:p>
            <w:pPr>
              <w:widowControl/>
              <w:ind w:firstLine="0" w:firstLineChars="0"/>
              <w:jc w:val="center"/>
              <w:rPr>
                <w:rFonts w:hint="eastAsia" w:ascii="仿宋_GB2312" w:hAnsi="宋体" w:cs="宋体"/>
                <w:kern w:val="0"/>
                <w:sz w:val="24"/>
                <w:szCs w:val="24"/>
                <w:lang w:val="en-US" w:eastAsia="zh-CN"/>
              </w:rPr>
            </w:pPr>
            <w:r>
              <w:rPr>
                <w:rFonts w:hint="eastAsia" w:ascii="仿宋_GB2312" w:hAnsi="宋体" w:cs="宋体"/>
                <w:kern w:val="0"/>
                <w:sz w:val="24"/>
                <w:szCs w:val="24"/>
                <w:lang w:val="en-US" w:eastAsia="zh-CN"/>
              </w:rPr>
              <w:t>河马泉校区设备采购项目</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cs="宋体"/>
                <w:kern w:val="0"/>
                <w:sz w:val="24"/>
                <w:szCs w:val="24"/>
                <w:lang w:val="en-US" w:eastAsia="zh-CN"/>
              </w:rPr>
            </w:pPr>
            <w:r>
              <w:rPr>
                <w:rFonts w:hint="eastAsia" w:ascii="仿宋_GB2312" w:hAnsi="宋体" w:cs="宋体"/>
                <w:kern w:val="0"/>
                <w:sz w:val="24"/>
                <w:szCs w:val="24"/>
                <w:lang w:val="en-US" w:eastAsia="zh-CN"/>
              </w:rPr>
              <w:t>4</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cs="宋体"/>
                <w:kern w:val="0"/>
                <w:sz w:val="24"/>
                <w:szCs w:val="24"/>
                <w:lang w:val="en-US" w:eastAsia="zh-CN"/>
              </w:rPr>
            </w:pPr>
            <w:r>
              <w:rPr>
                <w:rFonts w:hint="eastAsia" w:ascii="仿宋_GB2312" w:hAnsi="宋体" w:cs="宋体"/>
                <w:kern w:val="0"/>
                <w:sz w:val="24"/>
                <w:szCs w:val="24"/>
                <w:lang w:val="en-US" w:eastAsia="zh-CN"/>
              </w:rPr>
              <w:t>4</w:t>
            </w:r>
          </w:p>
        </w:tc>
        <w:tc>
          <w:tcPr>
            <w:tcW w:w="1039" w:type="dxa"/>
            <w:tcBorders>
              <w:tl2br w:val="nil"/>
              <w:tr2bl w:val="nil"/>
            </w:tcBorders>
            <w:shd w:val="clear" w:color="000000" w:fill="FFFFFF"/>
            <w:vAlign w:val="center"/>
          </w:tcPr>
          <w:p>
            <w:pPr>
              <w:widowControl/>
              <w:ind w:firstLine="0" w:firstLineChars="0"/>
              <w:jc w:val="center"/>
              <w:rPr>
                <w:rFonts w:hint="eastAsia" w:ascii="仿宋_GB2312" w:hAnsi="宋体" w:cs="宋体"/>
                <w:kern w:val="0"/>
                <w:sz w:val="24"/>
                <w:szCs w:val="24"/>
                <w:lang w:val="en-US" w:eastAsia="zh-CN"/>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产出质量</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lang w:val="en-US" w:eastAsia="zh-CN"/>
              </w:rPr>
              <w:t>设备验收通过</w:t>
            </w:r>
            <w:r>
              <w:rPr>
                <w:rFonts w:hint="eastAsia" w:ascii="宋体" w:hAnsi="宋体" w:eastAsia="宋体" w:cs="宋体"/>
                <w:color w:val="000000"/>
                <w:kern w:val="0"/>
                <w:sz w:val="22"/>
              </w:rPr>
              <w:t>率</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83"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highlight w:val="yellow"/>
              </w:rPr>
              <w:t>产出时效</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lang w:val="en-US" w:eastAsia="zh-CN"/>
              </w:rPr>
              <w:t>项目完成</w:t>
            </w:r>
            <w:r>
              <w:rPr>
                <w:rFonts w:hint="eastAsia" w:ascii="宋体" w:hAnsi="宋体" w:eastAsia="宋体" w:cs="宋体"/>
                <w:color w:val="000000"/>
                <w:kern w:val="0"/>
                <w:sz w:val="22"/>
              </w:rPr>
              <w:t>及时率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5</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1039"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80%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产出成本</w:t>
            </w:r>
          </w:p>
        </w:tc>
        <w:tc>
          <w:tcPr>
            <w:tcW w:w="2693" w:type="dxa"/>
            <w:tcBorders>
              <w:tl2br w:val="nil"/>
              <w:tr2bl w:val="nil"/>
            </w:tcBorders>
            <w:shd w:val="clear" w:color="auto"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购置学生机房成本</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1.62</w:t>
            </w:r>
          </w:p>
        </w:tc>
        <w:tc>
          <w:tcPr>
            <w:tcW w:w="1039"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40.6%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 w:hRule="atLeast"/>
          <w:jc w:val="center"/>
        </w:trPr>
        <w:tc>
          <w:tcPr>
            <w:tcW w:w="1550" w:type="dxa"/>
            <w:vMerge w:val="continue"/>
            <w:tcBorders>
              <w:tl2br w:val="nil"/>
              <w:tr2bl w:val="nil"/>
            </w:tcBorders>
            <w:shd w:val="clear" w:color="auto" w:fill="FFFFFF"/>
            <w:vAlign w:val="center"/>
          </w:tcPr>
          <w:p>
            <w:pPr>
              <w:widowControl/>
              <w:ind w:firstLine="0" w:firstLineChars="0"/>
              <w:jc w:val="center"/>
            </w:pPr>
          </w:p>
        </w:tc>
        <w:tc>
          <w:tcPr>
            <w:tcW w:w="1984" w:type="dxa"/>
            <w:vMerge w:val="continue"/>
            <w:tcBorders>
              <w:tl2br w:val="nil"/>
              <w:tr2bl w:val="nil"/>
            </w:tcBorders>
            <w:shd w:val="clear" w:color="auto" w:fill="FFFFFF"/>
            <w:vAlign w:val="center"/>
          </w:tcPr>
          <w:p>
            <w:pPr>
              <w:widowControl/>
              <w:ind w:firstLine="0" w:firstLineChars="0"/>
              <w:jc w:val="center"/>
            </w:pPr>
          </w:p>
        </w:tc>
        <w:tc>
          <w:tcPr>
            <w:tcW w:w="2693" w:type="dxa"/>
            <w:tcBorders>
              <w:tl2br w:val="nil"/>
              <w:tr2bl w:val="nil"/>
            </w:tcBorders>
            <w:shd w:val="clear" w:color="auto" w:fill="FFFFFF"/>
            <w:vAlign w:val="center"/>
          </w:tcPr>
          <w:p>
            <w:pPr>
              <w:widowControl/>
              <w:ind w:firstLine="0" w:firstLineChars="0"/>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北门校区购置教师用电脑成本</w:t>
            </w:r>
          </w:p>
        </w:tc>
        <w:tc>
          <w:tcPr>
            <w:tcW w:w="898" w:type="dxa"/>
            <w:tcBorders>
              <w:tl2br w:val="nil"/>
              <w:tr2bl w:val="nil"/>
            </w:tcBorders>
            <w:shd w:val="clear" w:color="000000" w:fill="FFFFFF"/>
            <w:vAlign w:val="center"/>
          </w:tcPr>
          <w:p>
            <w:pPr>
              <w:widowControl/>
              <w:ind w:firstLine="0" w:firstLineChars="0"/>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4</w:t>
            </w:r>
          </w:p>
        </w:tc>
        <w:tc>
          <w:tcPr>
            <w:tcW w:w="898" w:type="dxa"/>
            <w:tcBorders>
              <w:tl2br w:val="nil"/>
              <w:tr2bl w:val="nil"/>
            </w:tcBorders>
            <w:shd w:val="clear" w:color="000000" w:fill="FFFFFF"/>
            <w:vAlign w:val="center"/>
          </w:tcPr>
          <w:p>
            <w:pPr>
              <w:widowControl/>
              <w:ind w:firstLine="0" w:firstLineChars="0"/>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3.88</w:t>
            </w:r>
          </w:p>
        </w:tc>
        <w:tc>
          <w:tcPr>
            <w:tcW w:w="1039" w:type="dxa"/>
            <w:tcBorders>
              <w:tl2br w:val="nil"/>
              <w:tr2bl w:val="nil"/>
            </w:tcBorders>
            <w:shd w:val="clear" w:color="000000" w:fill="FFFFFF"/>
            <w:vAlign w:val="center"/>
          </w:tcPr>
          <w:p>
            <w:pPr>
              <w:widowControl/>
              <w:ind w:firstLine="0" w:firstLineChars="0"/>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eastAsia" w:ascii="宋体" w:hAnsi="宋体" w:eastAsia="宋体" w:cs="宋体"/>
                <w:color w:val="000000"/>
                <w:kern w:val="0"/>
                <w:sz w:val="22"/>
              </w:rPr>
            </w:pPr>
          </w:p>
        </w:tc>
        <w:tc>
          <w:tcPr>
            <w:tcW w:w="1984" w:type="dxa"/>
            <w:vMerge w:val="continue"/>
            <w:tcBorders>
              <w:tl2br w:val="nil"/>
              <w:tr2bl w:val="nil"/>
            </w:tcBorders>
            <w:shd w:val="clear" w:color="auto" w:fill="FFFFFF"/>
            <w:vAlign w:val="center"/>
          </w:tcPr>
          <w:p>
            <w:pPr>
              <w:widowControl/>
              <w:ind w:firstLine="0" w:firstLineChars="0"/>
              <w:jc w:val="center"/>
              <w:rPr>
                <w:rFonts w:hint="eastAsia" w:ascii="宋体" w:hAnsi="宋体" w:eastAsia="宋体" w:cs="宋体"/>
                <w:color w:val="000000"/>
                <w:kern w:val="0"/>
                <w:sz w:val="22"/>
              </w:rPr>
            </w:pPr>
          </w:p>
        </w:tc>
        <w:tc>
          <w:tcPr>
            <w:tcW w:w="2693" w:type="dxa"/>
            <w:tcBorders>
              <w:tl2br w:val="nil"/>
              <w:tr2bl w:val="nil"/>
            </w:tcBorders>
            <w:shd w:val="clear" w:color="auto" w:fill="FFFFFF"/>
            <w:vAlign w:val="center"/>
          </w:tcPr>
          <w:p>
            <w:pPr>
              <w:widowControl/>
              <w:ind w:firstLine="0" w:firstLineChars="0"/>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LED显示屏项目成本</w:t>
            </w:r>
          </w:p>
        </w:tc>
        <w:tc>
          <w:tcPr>
            <w:tcW w:w="898" w:type="dxa"/>
            <w:tcBorders>
              <w:tl2br w:val="nil"/>
              <w:tr2bl w:val="nil"/>
            </w:tcBorders>
            <w:shd w:val="clear" w:color="000000" w:fill="FFFFFF"/>
            <w:vAlign w:val="center"/>
          </w:tcPr>
          <w:p>
            <w:pPr>
              <w:widowControl/>
              <w:ind w:firstLine="0" w:firstLineChars="0"/>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4</w:t>
            </w:r>
          </w:p>
        </w:tc>
        <w:tc>
          <w:tcPr>
            <w:tcW w:w="898" w:type="dxa"/>
            <w:tcBorders>
              <w:tl2br w:val="nil"/>
              <w:tr2bl w:val="nil"/>
            </w:tcBorders>
            <w:shd w:val="clear" w:color="000000" w:fill="FFFFFF"/>
            <w:vAlign w:val="center"/>
          </w:tcPr>
          <w:p>
            <w:pPr>
              <w:widowControl/>
              <w:ind w:firstLine="0" w:firstLineChars="0"/>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1.13</w:t>
            </w:r>
          </w:p>
        </w:tc>
        <w:tc>
          <w:tcPr>
            <w:tcW w:w="1039" w:type="dxa"/>
            <w:tcBorders>
              <w:tl2br w:val="nil"/>
              <w:tr2bl w:val="nil"/>
            </w:tcBorders>
            <w:shd w:val="clear" w:color="000000" w:fill="FFFFFF"/>
            <w:vAlign w:val="center"/>
          </w:tcPr>
          <w:p>
            <w:pPr>
              <w:widowControl/>
              <w:ind w:firstLine="0" w:firstLineChars="0"/>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28.2%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eastAsia" w:ascii="宋体" w:hAnsi="宋体" w:eastAsia="宋体" w:cs="宋体"/>
                <w:color w:val="000000"/>
                <w:kern w:val="0"/>
                <w:sz w:val="22"/>
              </w:rPr>
            </w:pPr>
          </w:p>
        </w:tc>
        <w:tc>
          <w:tcPr>
            <w:tcW w:w="1984" w:type="dxa"/>
            <w:vMerge w:val="continue"/>
            <w:tcBorders>
              <w:tl2br w:val="nil"/>
              <w:tr2bl w:val="nil"/>
            </w:tcBorders>
            <w:shd w:val="clear" w:color="auto" w:fill="FFFFFF"/>
            <w:vAlign w:val="center"/>
          </w:tcPr>
          <w:p>
            <w:pPr>
              <w:widowControl/>
              <w:ind w:firstLine="0" w:firstLineChars="0"/>
              <w:jc w:val="center"/>
              <w:rPr>
                <w:rFonts w:hint="eastAsia" w:ascii="宋体" w:hAnsi="宋体" w:eastAsia="宋体" w:cs="宋体"/>
                <w:color w:val="000000"/>
                <w:kern w:val="0"/>
                <w:sz w:val="22"/>
              </w:rPr>
            </w:pPr>
          </w:p>
        </w:tc>
        <w:tc>
          <w:tcPr>
            <w:tcW w:w="2693" w:type="dxa"/>
            <w:tcBorders>
              <w:tl2br w:val="nil"/>
              <w:tr2bl w:val="nil"/>
            </w:tcBorders>
            <w:shd w:val="clear" w:color="auto" w:fill="FFFFFF"/>
            <w:vAlign w:val="center"/>
          </w:tcPr>
          <w:p>
            <w:pPr>
              <w:widowControl/>
              <w:ind w:firstLine="0" w:firstLineChars="0"/>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绿谷校区视频监控及存储服务器</w:t>
            </w:r>
            <w:r>
              <w:rPr>
                <w:rFonts w:hint="eastAsia" w:ascii="仿宋_GB2312" w:hAnsi="宋体" w:cs="宋体"/>
                <w:kern w:val="0"/>
                <w:sz w:val="24"/>
                <w:szCs w:val="24"/>
                <w:lang w:val="en-US" w:eastAsia="zh-CN"/>
              </w:rPr>
              <w:t>扩容系统陈本</w:t>
            </w:r>
          </w:p>
        </w:tc>
        <w:tc>
          <w:tcPr>
            <w:tcW w:w="898" w:type="dxa"/>
            <w:tcBorders>
              <w:tl2br w:val="nil"/>
              <w:tr2bl w:val="nil"/>
            </w:tcBorders>
            <w:shd w:val="clear" w:color="000000" w:fill="FFFFFF"/>
            <w:vAlign w:val="center"/>
          </w:tcPr>
          <w:p>
            <w:pPr>
              <w:widowControl/>
              <w:ind w:firstLine="0" w:firstLineChars="0"/>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4</w:t>
            </w:r>
          </w:p>
        </w:tc>
        <w:tc>
          <w:tcPr>
            <w:tcW w:w="898" w:type="dxa"/>
            <w:tcBorders>
              <w:tl2br w:val="nil"/>
              <w:tr2bl w:val="nil"/>
            </w:tcBorders>
            <w:shd w:val="clear" w:color="000000" w:fill="FFFFFF"/>
            <w:vAlign w:val="center"/>
          </w:tcPr>
          <w:p>
            <w:pPr>
              <w:widowControl/>
              <w:ind w:firstLine="0" w:firstLineChars="0"/>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3.84</w:t>
            </w:r>
          </w:p>
        </w:tc>
        <w:tc>
          <w:tcPr>
            <w:tcW w:w="1039" w:type="dxa"/>
            <w:tcBorders>
              <w:tl2br w:val="nil"/>
              <w:tr2bl w:val="nil"/>
            </w:tcBorders>
            <w:shd w:val="clear" w:color="000000" w:fill="FFFFFF"/>
            <w:vAlign w:val="center"/>
          </w:tcPr>
          <w:p>
            <w:pPr>
              <w:widowControl/>
              <w:ind w:firstLine="0" w:firstLineChars="0"/>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eastAsia" w:ascii="宋体" w:hAnsi="宋体" w:eastAsia="宋体" w:cs="宋体"/>
                <w:color w:val="000000"/>
                <w:kern w:val="0"/>
                <w:sz w:val="22"/>
              </w:rPr>
            </w:pPr>
          </w:p>
        </w:tc>
        <w:tc>
          <w:tcPr>
            <w:tcW w:w="1984" w:type="dxa"/>
            <w:vMerge w:val="continue"/>
            <w:tcBorders>
              <w:tl2br w:val="nil"/>
              <w:tr2bl w:val="nil"/>
            </w:tcBorders>
            <w:shd w:val="clear" w:color="auto" w:fill="FFFFFF"/>
            <w:vAlign w:val="center"/>
          </w:tcPr>
          <w:p>
            <w:pPr>
              <w:widowControl/>
              <w:ind w:firstLine="0" w:firstLineChars="0"/>
              <w:jc w:val="center"/>
              <w:rPr>
                <w:rFonts w:hint="eastAsia" w:ascii="宋体" w:hAnsi="宋体" w:eastAsia="宋体" w:cs="宋体"/>
                <w:color w:val="000000"/>
                <w:kern w:val="0"/>
                <w:sz w:val="22"/>
              </w:rPr>
            </w:pPr>
          </w:p>
        </w:tc>
        <w:tc>
          <w:tcPr>
            <w:tcW w:w="2693" w:type="dxa"/>
            <w:tcBorders>
              <w:tl2br w:val="nil"/>
              <w:tr2bl w:val="nil"/>
            </w:tcBorders>
            <w:shd w:val="clear" w:color="auto" w:fill="FFFFFF"/>
            <w:vAlign w:val="center"/>
          </w:tcPr>
          <w:p>
            <w:pPr>
              <w:widowControl/>
              <w:ind w:firstLine="0" w:firstLineChars="0"/>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河马泉校区设备购置项目成本</w:t>
            </w:r>
          </w:p>
        </w:tc>
        <w:tc>
          <w:tcPr>
            <w:tcW w:w="898" w:type="dxa"/>
            <w:tcBorders>
              <w:tl2br w:val="nil"/>
              <w:tr2bl w:val="nil"/>
            </w:tcBorders>
            <w:shd w:val="clear" w:color="000000" w:fill="FFFFFF"/>
            <w:vAlign w:val="center"/>
          </w:tcPr>
          <w:p>
            <w:pPr>
              <w:widowControl/>
              <w:ind w:firstLine="0" w:firstLineChars="0"/>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4</w:t>
            </w:r>
          </w:p>
        </w:tc>
        <w:tc>
          <w:tcPr>
            <w:tcW w:w="898" w:type="dxa"/>
            <w:tcBorders>
              <w:tl2br w:val="nil"/>
              <w:tr2bl w:val="nil"/>
            </w:tcBorders>
            <w:shd w:val="clear" w:color="000000" w:fill="FFFFFF"/>
            <w:vAlign w:val="center"/>
          </w:tcPr>
          <w:p>
            <w:pPr>
              <w:widowControl/>
              <w:ind w:firstLine="0" w:firstLineChars="0"/>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0.47</w:t>
            </w:r>
          </w:p>
        </w:tc>
        <w:tc>
          <w:tcPr>
            <w:tcW w:w="1039" w:type="dxa"/>
            <w:tcBorders>
              <w:tl2br w:val="nil"/>
              <w:tr2bl w:val="nil"/>
            </w:tcBorders>
            <w:shd w:val="clear" w:color="000000" w:fill="FFFFFF"/>
            <w:vAlign w:val="center"/>
          </w:tcPr>
          <w:p>
            <w:pPr>
              <w:widowControl/>
              <w:ind w:firstLine="0" w:firstLineChars="0"/>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11.75%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4" w:hRule="atLeast"/>
          <w:jc w:val="center"/>
        </w:trPr>
        <w:tc>
          <w:tcPr>
            <w:tcW w:w="1550"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效益</w:t>
            </w: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highlight w:val="yellow"/>
                <w:lang w:val="en-US" w:eastAsia="zh-CN"/>
              </w:rPr>
              <w:t>社会</w:t>
            </w:r>
            <w:r>
              <w:rPr>
                <w:rFonts w:hint="eastAsia" w:ascii="仿宋_GB2312" w:hAnsi="宋体" w:cs="宋体"/>
                <w:kern w:val="0"/>
                <w:sz w:val="24"/>
                <w:szCs w:val="24"/>
                <w:highlight w:val="yellow"/>
              </w:rPr>
              <w:t>效益指标</w:t>
            </w:r>
          </w:p>
        </w:tc>
        <w:tc>
          <w:tcPr>
            <w:tcW w:w="2693" w:type="dxa"/>
            <w:tcBorders>
              <w:tl2br w:val="nil"/>
              <w:tr2bl w:val="nil"/>
            </w:tcBorders>
            <w:shd w:val="clear" w:color="auto" w:fill="FFFFFF"/>
            <w:vAlign w:val="center"/>
          </w:tcPr>
          <w:p>
            <w:pPr>
              <w:widowControl/>
              <w:ind w:firstLine="0" w:firstLineChars="0"/>
              <w:jc w:val="both"/>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设备购置，更好的满足教育教学需要</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6</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1039" w:type="dxa"/>
            <w:tcBorders>
              <w:tl2br w:val="nil"/>
              <w:tr2bl w:val="nil"/>
            </w:tcBorders>
            <w:shd w:val="clear" w:color="auto"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66.7%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宋体" w:hAnsi="宋体" w:eastAsia="宋体" w:cs="宋体"/>
                <w:color w:val="000000"/>
                <w:kern w:val="0"/>
                <w:sz w:val="22"/>
              </w:rPr>
              <w:t>满意度指标完成情况分析</w:t>
            </w: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满意度指标</w:t>
            </w:r>
          </w:p>
        </w:tc>
        <w:tc>
          <w:tcPr>
            <w:tcW w:w="2693" w:type="dxa"/>
            <w:tcBorders>
              <w:tl2br w:val="nil"/>
              <w:tr2bl w:val="nil"/>
            </w:tcBorders>
            <w:shd w:val="clear" w:color="auto" w:fill="FFFFFF"/>
            <w:vAlign w:val="center"/>
          </w:tcPr>
          <w:p>
            <w:pPr>
              <w:widowControl/>
              <w:ind w:firstLine="0" w:firstLineChars="0"/>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教师、学生对项目的综合满意度</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bl>
    <w:p>
      <w:pPr>
        <w:pStyle w:val="3"/>
        <w:ind w:firstLine="643"/>
        <w:rPr>
          <w:rFonts w:ascii="仿宋" w:hAnsi="仿宋" w:eastAsia="仿宋"/>
          <w:lang w:bidi="en-US"/>
        </w:rPr>
      </w:pPr>
      <w:bookmarkStart w:id="31" w:name="_Toc165277239"/>
      <w:bookmarkStart w:id="32" w:name="_Toc67911610"/>
      <w:r>
        <w:rPr>
          <w:rFonts w:hint="eastAsia" w:ascii="仿宋" w:hAnsi="仿宋" w:eastAsia="仿宋"/>
          <w:lang w:bidi="en-US"/>
        </w:rPr>
        <w:t>（二）主要绩效</w:t>
      </w:r>
      <w:bookmarkEnd w:id="31"/>
      <w:bookmarkEnd w:id="32"/>
    </w:p>
    <w:p>
      <w:pPr>
        <w:spacing w:line="360" w:lineRule="auto"/>
        <w:ind w:firstLine="548" w:firstLineChars="196"/>
        <w:rPr>
          <w:rFonts w:hint="default" w:ascii="仿宋_GB2312" w:eastAsia="仿宋_GB2312"/>
          <w:bCs/>
          <w:szCs w:val="28"/>
          <w:lang w:val="en-US" w:eastAsia="zh-CN"/>
        </w:rPr>
      </w:pPr>
      <w:bookmarkStart w:id="33" w:name="_Toc165277240"/>
      <w:bookmarkStart w:id="34" w:name="_Toc67911611"/>
      <w:r>
        <w:rPr>
          <w:rFonts w:hint="eastAsia" w:ascii="仿宋_GB2312"/>
          <w:bCs/>
          <w:szCs w:val="28"/>
        </w:rPr>
        <w:t>此次评价期间内，有序完成设定目标的部分工作任务，</w:t>
      </w:r>
      <w:r>
        <w:rPr>
          <w:rFonts w:hint="eastAsia" w:ascii="仿宋_GB2312"/>
          <w:bCs/>
          <w:szCs w:val="28"/>
          <w:lang w:val="en-US" w:eastAsia="zh-CN"/>
        </w:rPr>
        <w:t>北门校区1间学生机房已投入教学使用，三块Led大屏也经投入使用，75台教师办公电脑已分发到教师手中，极大的改善了师生的学习办公条件，提高了学习办公效率</w:t>
      </w:r>
      <w:r>
        <w:rPr>
          <w:rFonts w:hint="eastAsia" w:ascii="仿宋_GB2312"/>
          <w:bCs/>
          <w:szCs w:val="28"/>
        </w:rPr>
        <w:t>。</w:t>
      </w:r>
      <w:r>
        <w:rPr>
          <w:rFonts w:hint="eastAsia" w:ascii="仿宋_GB2312"/>
          <w:bCs/>
          <w:szCs w:val="28"/>
          <w:lang w:val="en-US" w:eastAsia="zh-CN"/>
        </w:rPr>
        <w:t>绿谷校区完成绿谷校区购置视频监控及存储服务器扩容系统1套，在保障了校区安全的同时增强了学校的安保能力确保了师生安全。河马泉校区设备采购项目主要作为中央资金的配套使用，其中</w:t>
      </w:r>
      <w:r>
        <w:rPr>
          <w:rFonts w:hint="eastAsia" w:cs="Calibri"/>
          <w:lang w:val="en-US" w:eastAsia="zh-CN"/>
        </w:rPr>
        <w:t>教学一体机设备、智慧校园综合平台、视频展示设备、窗帘采购、教学用课桌椅、办公家具、开放实验室均已完成招标并实施，另外天象馆设备、初中实验室仪器、校园文化建设因中央资金未到位无法执行，饮水机项目因投诉停止招标活动。</w:t>
      </w:r>
    </w:p>
    <w:p>
      <w:pPr>
        <w:pStyle w:val="2"/>
        <w:ind w:firstLine="0" w:firstLineChars="0"/>
        <w:jc w:val="left"/>
        <w:rPr>
          <w:rFonts w:ascii="仿宋" w:hAnsi="仿宋" w:eastAsia="仿宋"/>
          <w:sz w:val="36"/>
          <w:szCs w:val="36"/>
          <w:lang w:bidi="en-US"/>
        </w:rPr>
      </w:pPr>
      <w:r>
        <w:rPr>
          <w:rFonts w:hint="eastAsia" w:ascii="仿宋" w:hAnsi="仿宋" w:eastAsia="仿宋"/>
          <w:sz w:val="36"/>
          <w:szCs w:val="36"/>
          <w:lang w:bidi="en-US"/>
        </w:rPr>
        <w:t>四、绩效评价指标分析</w:t>
      </w:r>
      <w:bookmarkEnd w:id="33"/>
      <w:bookmarkEnd w:id="34"/>
    </w:p>
    <w:p>
      <w:pPr>
        <w:pStyle w:val="3"/>
        <w:ind w:firstLine="643"/>
        <w:rPr>
          <w:rFonts w:ascii="仿宋" w:hAnsi="仿宋" w:eastAsia="仿宋"/>
          <w:lang w:bidi="en-US"/>
        </w:rPr>
      </w:pPr>
      <w:bookmarkStart w:id="35" w:name="_Toc165277241"/>
      <w:bookmarkStart w:id="36" w:name="_Toc67911612"/>
      <w:r>
        <w:rPr>
          <w:rFonts w:hint="eastAsia" w:ascii="仿宋" w:hAnsi="仿宋" w:eastAsia="仿宋"/>
          <w:lang w:bidi="en-US"/>
        </w:rPr>
        <w:t>（一）项目决策情况</w:t>
      </w:r>
      <w:bookmarkEnd w:id="35"/>
      <w:bookmarkEnd w:id="36"/>
    </w:p>
    <w:p>
      <w:pPr>
        <w:spacing w:line="360" w:lineRule="auto"/>
        <w:ind w:firstLine="560"/>
        <w:rPr>
          <w:rFonts w:ascii="仿宋_GB2312"/>
          <w:szCs w:val="28"/>
        </w:rPr>
      </w:pPr>
      <w:r>
        <w:rPr>
          <w:rFonts w:hint="eastAsia" w:ascii="仿宋_GB2312"/>
          <w:szCs w:val="28"/>
        </w:rPr>
        <w:t>项目决算指标由3个二级指标和6个三级指标构成，权重为</w:t>
      </w:r>
      <w:r>
        <w:rPr>
          <w:rFonts w:ascii="仿宋_GB2312"/>
          <w:szCs w:val="28"/>
        </w:rPr>
        <w:t>20</w:t>
      </w:r>
      <w:r>
        <w:rPr>
          <w:rFonts w:hint="eastAsia" w:ascii="仿宋_GB2312"/>
          <w:szCs w:val="28"/>
        </w:rPr>
        <w:t>分，实际得分</w:t>
      </w:r>
      <w:r>
        <w:rPr>
          <w:rFonts w:hint="eastAsia" w:ascii="仿宋_GB2312"/>
          <w:szCs w:val="28"/>
          <w:lang w:val="en-US" w:eastAsia="zh-CN"/>
        </w:rPr>
        <w:t>20</w:t>
      </w:r>
      <w:r>
        <w:rPr>
          <w:rFonts w:hint="eastAsia" w:ascii="仿宋_GB2312"/>
          <w:szCs w:val="28"/>
        </w:rPr>
        <w:t>分。</w:t>
      </w:r>
    </w:p>
    <w:p>
      <w:pPr>
        <w:pStyle w:val="4"/>
        <w:ind w:firstLine="643"/>
      </w:pPr>
      <w:bookmarkStart w:id="37" w:name="_Toc165277242"/>
      <w:r>
        <w:t>1.</w:t>
      </w:r>
      <w:r>
        <w:rPr>
          <w:rFonts w:hint="eastAsia"/>
        </w:rPr>
        <w:t>项目立项</w:t>
      </w:r>
      <w:bookmarkEnd w:id="37"/>
    </w:p>
    <w:p>
      <w:pPr>
        <w:spacing w:line="360" w:lineRule="auto"/>
        <w:ind w:firstLine="562"/>
        <w:rPr>
          <w:rFonts w:ascii="仿宋_GB2312"/>
          <w:szCs w:val="28"/>
        </w:rPr>
      </w:pPr>
      <w:r>
        <w:rPr>
          <w:rFonts w:hint="eastAsia" w:ascii="仿宋_GB2312"/>
          <w:b/>
          <w:bCs/>
          <w:szCs w:val="28"/>
        </w:rPr>
        <w:t>立项依据充分性：</w:t>
      </w:r>
      <w:r>
        <w:rPr>
          <w:rFonts w:hint="eastAsia" w:ascii="仿宋_GB2312"/>
        </w:rPr>
        <w:t>经乌财科教【2023】2号文件批准，项目系2023年本级资金，共安排预算1801.16万元</w:t>
      </w:r>
      <w:r>
        <w:rPr>
          <w:rFonts w:hint="eastAsia" w:ascii="仿宋_GB2312"/>
          <w:lang w:eastAsia="zh-CN"/>
        </w:rPr>
        <w:t>，</w:t>
      </w:r>
      <w:r>
        <w:rPr>
          <w:rFonts w:hint="eastAsia" w:ascii="仿宋_GB2312"/>
          <w:szCs w:val="28"/>
        </w:rPr>
        <w:t>项目立项符合国家法律法规、政策要求。同时，项目与部门职责范围相符，属于部门履职所需。因此，立项依据充分，得4分。</w:t>
      </w:r>
    </w:p>
    <w:p>
      <w:pPr>
        <w:spacing w:line="360" w:lineRule="auto"/>
        <w:ind w:firstLine="562"/>
        <w:rPr>
          <w:rFonts w:ascii="仿宋_GB2312"/>
          <w:szCs w:val="28"/>
        </w:rPr>
      </w:pPr>
      <w:r>
        <w:rPr>
          <w:rFonts w:hint="eastAsia" w:ascii="仿宋_GB2312"/>
          <w:b/>
          <w:bCs/>
          <w:szCs w:val="28"/>
        </w:rPr>
        <w:t>立项程序规范性</w:t>
      </w:r>
      <w:r>
        <w:rPr>
          <w:rFonts w:ascii="仿宋_GB2312"/>
          <w:b/>
          <w:bCs/>
          <w:szCs w:val="28"/>
        </w:rPr>
        <w:t>:</w:t>
      </w:r>
      <w:r>
        <w:rPr>
          <w:rFonts w:hint="eastAsia"/>
        </w:rPr>
        <w:t xml:space="preserve"> </w:t>
      </w:r>
      <w:r>
        <w:rPr>
          <w:rFonts w:hint="eastAsia" w:ascii="仿宋_GB2312"/>
          <w:szCs w:val="28"/>
        </w:rPr>
        <w:t>设备购置项目本年安排：3月初上报工程预算至评审中心进行工程预算评审；3月底完成工程预算评审；4月以评审价为控制价进行政府采购网上申报；6月完成招标工作；7月初签订合同；</w:t>
      </w:r>
      <w:r>
        <w:rPr>
          <w:rFonts w:hint="eastAsia" w:ascii="仿宋_GB2312"/>
          <w:szCs w:val="28"/>
          <w:lang w:val="en-US" w:eastAsia="zh-CN"/>
        </w:rPr>
        <w:t>立项程序规范，</w:t>
      </w:r>
      <w:r>
        <w:rPr>
          <w:rFonts w:hint="eastAsia" w:ascii="仿宋_GB2312"/>
          <w:szCs w:val="28"/>
        </w:rPr>
        <w:t>得4分。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8</w:t>
      </w:r>
      <w:r>
        <w:rPr>
          <w:rFonts w:hint="eastAsia" w:ascii="仿宋_GB2312" w:hAnsi="仿宋" w:cs="宋体"/>
          <w:b/>
          <w:kern w:val="0"/>
          <w:szCs w:val="28"/>
        </w:rPr>
        <w:t>分，得分</w:t>
      </w:r>
      <w:r>
        <w:rPr>
          <w:rFonts w:hint="eastAsia" w:ascii="仿宋_GB2312" w:hAnsi="仿宋" w:cs="宋体"/>
          <w:b/>
          <w:kern w:val="0"/>
          <w:szCs w:val="28"/>
          <w:lang w:val="en-US" w:eastAsia="zh-CN"/>
        </w:rPr>
        <w:t>8</w:t>
      </w:r>
      <w:r>
        <w:rPr>
          <w:rFonts w:hint="eastAsia" w:ascii="仿宋_GB2312" w:hAnsi="仿宋" w:cs="宋体"/>
          <w:b/>
          <w:kern w:val="0"/>
          <w:szCs w:val="28"/>
        </w:rPr>
        <w:t>分。</w:t>
      </w:r>
    </w:p>
    <w:p>
      <w:pPr>
        <w:pStyle w:val="4"/>
        <w:ind w:firstLine="643"/>
      </w:pPr>
      <w:bookmarkStart w:id="38" w:name="_Toc165277243"/>
      <w:r>
        <w:rPr>
          <w:rFonts w:hint="eastAsia"/>
        </w:rPr>
        <w:t>2</w:t>
      </w:r>
      <w:r>
        <w:t>.</w:t>
      </w:r>
      <w:r>
        <w:rPr>
          <w:rFonts w:hint="eastAsia"/>
        </w:rPr>
        <w:t>绩效目标</w:t>
      </w:r>
      <w:bookmarkEnd w:id="38"/>
    </w:p>
    <w:p>
      <w:pPr>
        <w:spacing w:line="360" w:lineRule="auto"/>
        <w:ind w:firstLine="562"/>
        <w:rPr>
          <w:rFonts w:ascii="仿宋_GB2312"/>
          <w:szCs w:val="28"/>
        </w:rPr>
      </w:pPr>
      <w:r>
        <w:rPr>
          <w:rFonts w:hint="eastAsia" w:ascii="仿宋_GB2312"/>
          <w:b/>
          <w:bCs/>
          <w:szCs w:val="28"/>
        </w:rPr>
        <w:t>绩效目标合理性：</w:t>
      </w:r>
      <w:r>
        <w:rPr>
          <w:rFonts w:hint="eastAsia" w:ascii="仿宋_GB2312"/>
          <w:szCs w:val="28"/>
        </w:rPr>
        <w:t>本项目的绩效目标按照产出、效益和满意度构建绩效评价指标，且具有明确性、可衡量性、可实现性、相关性和时限性等特点，能较为全面地反映本项目的产出和效益，故绩效目标合理性指标得分</w:t>
      </w:r>
      <w:r>
        <w:rPr>
          <w:rFonts w:ascii="仿宋_GB2312"/>
          <w:szCs w:val="28"/>
        </w:rPr>
        <w:t>3</w:t>
      </w:r>
      <w:r>
        <w:rPr>
          <w:rFonts w:hint="eastAsia" w:ascii="仿宋_GB2312"/>
          <w:szCs w:val="28"/>
        </w:rPr>
        <w:t>分。</w:t>
      </w:r>
    </w:p>
    <w:p>
      <w:pPr>
        <w:autoSpaceDE w:val="0"/>
        <w:spacing w:line="600" w:lineRule="exact"/>
        <w:ind w:firstLine="562"/>
        <w:rPr>
          <w:rFonts w:ascii="仿宋_GB2312" w:hAnsi="仿宋" w:cs="宋体"/>
          <w:kern w:val="0"/>
          <w:szCs w:val="28"/>
        </w:rPr>
      </w:pPr>
      <w:r>
        <w:rPr>
          <w:rFonts w:hint="eastAsia" w:ascii="仿宋_GB2312" w:hAnsi="仿宋" w:cs="宋体"/>
          <w:b/>
          <w:kern w:val="0"/>
          <w:szCs w:val="28"/>
        </w:rPr>
        <w:t>绩效目标明确性：</w:t>
      </w:r>
      <w:r>
        <w:rPr>
          <w:rFonts w:hint="eastAsia" w:ascii="仿宋_GB2312" w:hAnsi="仿宋" w:cs="宋体"/>
          <w:kern w:val="0"/>
          <w:szCs w:val="28"/>
        </w:rPr>
        <w:t>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w:t>
      </w:r>
      <w:r>
        <w:rPr>
          <w:rFonts w:ascii="仿宋_GB2312" w:hAnsi="仿宋" w:cs="宋体"/>
          <w:kern w:val="0"/>
          <w:szCs w:val="28"/>
        </w:rPr>
        <w:t>3</w:t>
      </w:r>
      <w:r>
        <w:rPr>
          <w:rFonts w:hint="eastAsia" w:ascii="仿宋_GB2312" w:hAnsi="仿宋" w:cs="宋体"/>
          <w:kern w:val="0"/>
          <w:szCs w:val="28"/>
        </w:rPr>
        <w:t>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w:t>
      </w:r>
      <w:r>
        <w:rPr>
          <w:rFonts w:hint="eastAsia" w:ascii="仿宋_GB2312" w:hAnsi="仿宋" w:cs="宋体"/>
          <w:b/>
          <w:kern w:val="0"/>
          <w:szCs w:val="28"/>
          <w:lang w:val="en-US" w:eastAsia="zh-CN"/>
        </w:rPr>
        <w:t>6</w:t>
      </w:r>
      <w:r>
        <w:rPr>
          <w:rFonts w:hint="eastAsia" w:ascii="仿宋_GB2312" w:hAnsi="仿宋" w:cs="宋体"/>
          <w:b/>
          <w:kern w:val="0"/>
          <w:szCs w:val="28"/>
        </w:rPr>
        <w:t>分。</w:t>
      </w:r>
    </w:p>
    <w:p>
      <w:pPr>
        <w:pStyle w:val="4"/>
        <w:ind w:firstLine="643"/>
      </w:pPr>
      <w:bookmarkStart w:id="39" w:name="_Toc165277244"/>
      <w:r>
        <w:rPr>
          <w:rFonts w:hint="eastAsia"/>
        </w:rPr>
        <w:t>3.资金投入</w:t>
      </w:r>
      <w:bookmarkEnd w:id="39"/>
    </w:p>
    <w:p>
      <w:pPr>
        <w:autoSpaceDE w:val="0"/>
        <w:spacing w:line="600" w:lineRule="exact"/>
        <w:ind w:firstLine="562"/>
        <w:rPr>
          <w:rFonts w:ascii="仿宋_GB2312" w:hAnsi="仿宋" w:cs="宋体"/>
          <w:bCs/>
          <w:kern w:val="0"/>
          <w:szCs w:val="28"/>
        </w:rPr>
      </w:pPr>
      <w:r>
        <w:rPr>
          <w:rFonts w:hint="eastAsia" w:ascii="仿宋_GB2312" w:hAnsi="仿宋" w:cs="宋体"/>
          <w:b/>
          <w:kern w:val="0"/>
          <w:szCs w:val="28"/>
        </w:rPr>
        <w:t>预算编制科学性：</w:t>
      </w:r>
      <w:r>
        <w:rPr>
          <w:rFonts w:hint="eastAsia" w:ascii="仿宋_GB2312" w:hAnsi="仿宋" w:cs="宋体"/>
          <w:kern w:val="0"/>
          <w:szCs w:val="28"/>
          <w:lang w:val="en-US" w:eastAsia="zh-CN"/>
        </w:rPr>
        <w:t>项目清单内容由设计院或专业单位出具结合学校实际情况确定项目内容编制预算并上报</w:t>
      </w:r>
      <w:r>
        <w:rPr>
          <w:rFonts w:hint="eastAsia" w:ascii="仿宋_GB2312" w:hAnsi="仿宋" w:cs="宋体"/>
          <w:kern w:val="0"/>
          <w:szCs w:val="28"/>
        </w:rPr>
        <w:t>预算至评审中心进行预算评审</w:t>
      </w:r>
      <w:r>
        <w:rPr>
          <w:rFonts w:hint="eastAsia" w:ascii="仿宋_GB2312" w:hAnsi="仿宋" w:cs="宋体"/>
          <w:kern w:val="0"/>
          <w:szCs w:val="28"/>
          <w:lang w:eastAsia="zh-CN"/>
        </w:rPr>
        <w:t>，</w:t>
      </w:r>
      <w:r>
        <w:rPr>
          <w:rFonts w:hint="eastAsia" w:ascii="仿宋_GB2312" w:hAnsi="仿宋" w:cs="宋体"/>
          <w:kern w:val="0"/>
          <w:szCs w:val="28"/>
          <w:lang w:val="en-US" w:eastAsia="zh-CN"/>
        </w:rPr>
        <w:t>最终以</w:t>
      </w:r>
      <w:r>
        <w:rPr>
          <w:rFonts w:hint="eastAsia" w:ascii="仿宋_GB2312" w:hAnsi="仿宋" w:cs="宋体"/>
          <w:kern w:val="0"/>
          <w:szCs w:val="28"/>
        </w:rPr>
        <w:t>评审价为控制价进行政府采购网上申报</w:t>
      </w:r>
      <w:r>
        <w:rPr>
          <w:rFonts w:hint="eastAsia" w:ascii="仿宋_GB2312" w:hAnsi="仿宋" w:cs="宋体"/>
          <w:kern w:val="0"/>
          <w:szCs w:val="28"/>
          <w:lang w:eastAsia="zh-CN"/>
        </w:rPr>
        <w:t>，</w:t>
      </w:r>
      <w:r>
        <w:rPr>
          <w:rFonts w:hint="eastAsia" w:ascii="仿宋_GB2312" w:hAnsi="仿宋" w:cs="宋体"/>
          <w:kern w:val="0"/>
          <w:szCs w:val="28"/>
        </w:rPr>
        <w:t>故预算编制科学性指标得分</w:t>
      </w:r>
      <w:r>
        <w:rPr>
          <w:rFonts w:ascii="仿宋_GB2312" w:hAnsi="仿宋" w:cs="宋体"/>
          <w:kern w:val="0"/>
          <w:szCs w:val="28"/>
        </w:rPr>
        <w:t>3</w:t>
      </w:r>
      <w:r>
        <w:rPr>
          <w:rFonts w:hint="eastAsia" w:ascii="仿宋_GB2312" w:hAnsi="仿宋" w:cs="宋体"/>
          <w:kern w:val="0"/>
          <w:szCs w:val="28"/>
        </w:rPr>
        <w:t>分。</w:t>
      </w:r>
    </w:p>
    <w:p>
      <w:pPr>
        <w:autoSpaceDE w:val="0"/>
        <w:spacing w:line="600" w:lineRule="exact"/>
        <w:ind w:firstLine="0" w:firstLineChars="0"/>
        <w:rPr>
          <w:rFonts w:ascii="仿宋_GB2312" w:hAnsi="仿宋" w:cs="宋体"/>
          <w:bCs/>
          <w:kern w:val="0"/>
          <w:szCs w:val="28"/>
        </w:rPr>
      </w:pPr>
    </w:p>
    <w:p>
      <w:pPr>
        <w:spacing w:line="360" w:lineRule="auto"/>
        <w:ind w:firstLine="560"/>
      </w:pPr>
      <w:r>
        <w:rPr>
          <w:rFonts w:hint="eastAsia"/>
          <w:b/>
          <w:bCs/>
        </w:rPr>
        <w:t>资金分配合理性</w:t>
      </w:r>
      <w:r>
        <w:rPr>
          <w:rFonts w:hint="eastAsia"/>
        </w:rPr>
        <w:t>：</w:t>
      </w:r>
      <w:r>
        <w:rPr>
          <w:rFonts w:hint="eastAsia" w:ascii="仿宋_GB2312"/>
        </w:rPr>
        <w:t>经乌财科教【2023】2号文件批准，项目系2023年本级资金，共安排预算1801.16万元，为2023年年初预算批复项目</w:t>
      </w:r>
      <w:r>
        <w:rPr>
          <w:rFonts w:hint="eastAsia" w:ascii="仿宋_GB2312"/>
          <w:lang w:eastAsia="zh-CN"/>
        </w:rPr>
        <w:t>，</w:t>
      </w:r>
      <w:r>
        <w:rPr>
          <w:rFonts w:hint="eastAsia" w:ascii="仿宋_GB2312"/>
          <w:lang w:val="en-US" w:eastAsia="zh-CN"/>
        </w:rPr>
        <w:t>其中因河马泉校区开学在即需要及时购置学校需要的教育教学设备本项采购</w:t>
      </w:r>
      <w:r>
        <w:rPr>
          <w:rFonts w:hint="eastAsia" w:ascii="仿宋_GB2312" w:hAnsi="仿宋"/>
          <w:szCs w:val="28"/>
          <w:lang w:val="en-US" w:eastAsia="zh-CN"/>
        </w:rPr>
        <w:t>占1604.88万元，其余为北门校区和绿谷校区维持正常教育教学活动的开展，提高办学质量，消除学校安全隐患，改善教育教学环境，更好地为学生提供教育教学服务。</w:t>
      </w:r>
      <w:r>
        <w:rPr>
          <w:rFonts w:hint="eastAsia" w:ascii="仿宋_GB2312" w:hAnsi="仿宋" w:cs="宋体"/>
          <w:kern w:val="0"/>
          <w:szCs w:val="28"/>
        </w:rPr>
        <w:t>故资金分配合理性指标得分</w:t>
      </w:r>
      <w:r>
        <w:rPr>
          <w:rFonts w:ascii="仿宋_GB2312" w:hAnsi="仿宋" w:cs="宋体"/>
          <w:kern w:val="0"/>
          <w:szCs w:val="28"/>
        </w:rPr>
        <w:t>3</w:t>
      </w:r>
      <w:r>
        <w:rPr>
          <w:rFonts w:hint="eastAsia" w:ascii="仿宋_GB2312" w:hAnsi="仿宋" w:cs="宋体"/>
          <w:kern w:val="0"/>
          <w:szCs w:val="28"/>
        </w:rPr>
        <w:t>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w:t>
      </w:r>
      <w:r>
        <w:rPr>
          <w:rFonts w:hint="eastAsia" w:ascii="仿宋_GB2312" w:hAnsi="仿宋" w:cs="宋体"/>
          <w:b/>
          <w:kern w:val="0"/>
          <w:szCs w:val="28"/>
          <w:lang w:val="en-US" w:eastAsia="zh-CN"/>
        </w:rPr>
        <w:t>6</w:t>
      </w:r>
      <w:r>
        <w:rPr>
          <w:rFonts w:hint="eastAsia" w:ascii="仿宋_GB2312" w:hAnsi="仿宋" w:cs="宋体"/>
          <w:b/>
          <w:kern w:val="0"/>
          <w:szCs w:val="28"/>
        </w:rPr>
        <w:t>分。</w:t>
      </w:r>
    </w:p>
    <w:p>
      <w:pPr>
        <w:pStyle w:val="3"/>
        <w:ind w:firstLine="643"/>
        <w:rPr>
          <w:rFonts w:ascii="仿宋" w:hAnsi="仿宋" w:eastAsia="仿宋"/>
          <w:lang w:bidi="en-US"/>
        </w:rPr>
      </w:pPr>
      <w:bookmarkStart w:id="40" w:name="_Toc67911613"/>
      <w:bookmarkStart w:id="41" w:name="_Toc165277245"/>
      <w:r>
        <w:rPr>
          <w:rFonts w:hint="eastAsia" w:ascii="仿宋" w:hAnsi="仿宋" w:eastAsia="仿宋"/>
          <w:lang w:bidi="en-US"/>
        </w:rPr>
        <w:t>（二）项目过程情况</w:t>
      </w:r>
      <w:bookmarkEnd w:id="40"/>
      <w:bookmarkEnd w:id="41"/>
    </w:p>
    <w:p>
      <w:pPr>
        <w:spacing w:line="360" w:lineRule="auto"/>
        <w:ind w:firstLine="560"/>
        <w:rPr>
          <w:rFonts w:ascii="仿宋_GB2312"/>
          <w:szCs w:val="28"/>
        </w:rPr>
      </w:pPr>
      <w:r>
        <w:rPr>
          <w:rFonts w:hint="eastAsia" w:ascii="仿宋_GB2312"/>
          <w:szCs w:val="28"/>
        </w:rPr>
        <w:t>项目过程指标由2个二级指标和</w:t>
      </w:r>
      <w:r>
        <w:rPr>
          <w:rFonts w:ascii="仿宋_GB2312"/>
          <w:szCs w:val="28"/>
        </w:rPr>
        <w:t>5</w:t>
      </w:r>
      <w:r>
        <w:rPr>
          <w:rFonts w:hint="eastAsia" w:ascii="仿宋_GB2312"/>
          <w:szCs w:val="28"/>
        </w:rPr>
        <w:t>个三级指标构成，权重为</w:t>
      </w:r>
      <w:r>
        <w:rPr>
          <w:rFonts w:ascii="仿宋_GB2312"/>
          <w:szCs w:val="28"/>
        </w:rPr>
        <w:t>20</w:t>
      </w:r>
      <w:r>
        <w:rPr>
          <w:rFonts w:hint="eastAsia" w:ascii="仿宋_GB2312"/>
          <w:szCs w:val="28"/>
        </w:rPr>
        <w:t>分，实际得分</w:t>
      </w:r>
      <w:r>
        <w:rPr>
          <w:rFonts w:hint="eastAsia" w:ascii="仿宋_GB2312"/>
          <w:szCs w:val="28"/>
          <w:highlight w:val="yellow"/>
          <w:lang w:val="en-US" w:eastAsia="zh-CN"/>
        </w:rPr>
        <w:t>15.8</w:t>
      </w:r>
      <w:r>
        <w:rPr>
          <w:rFonts w:hint="eastAsia" w:ascii="仿宋_GB2312"/>
          <w:szCs w:val="28"/>
        </w:rPr>
        <w:t>分。</w:t>
      </w:r>
    </w:p>
    <w:p>
      <w:pPr>
        <w:pStyle w:val="4"/>
        <w:ind w:firstLine="643"/>
      </w:pPr>
      <w:bookmarkStart w:id="42" w:name="_Toc165277246"/>
      <w:r>
        <w:t>1.</w:t>
      </w:r>
      <w:r>
        <w:rPr>
          <w:rFonts w:hint="eastAsia"/>
        </w:rPr>
        <w:t>资金管理</w:t>
      </w:r>
      <w:bookmarkEnd w:id="42"/>
    </w:p>
    <w:p>
      <w:pPr>
        <w:spacing w:line="360" w:lineRule="auto"/>
        <w:ind w:firstLine="562"/>
        <w:rPr>
          <w:rFonts w:hint="eastAsia" w:ascii="仿宋_GB2312"/>
          <w:szCs w:val="28"/>
          <w:lang w:eastAsia="zh-CN"/>
        </w:rPr>
      </w:pPr>
      <w:r>
        <w:rPr>
          <w:rFonts w:hint="eastAsia" w:ascii="仿宋_GB2312"/>
          <w:b/>
          <w:bCs/>
          <w:szCs w:val="28"/>
        </w:rPr>
        <w:t>资金到位率：</w:t>
      </w:r>
      <w:r>
        <w:t xml:space="preserve"> </w:t>
      </w:r>
      <w:r>
        <w:rPr>
          <w:rFonts w:hint="eastAsia" w:ascii="仿宋_GB2312"/>
          <w:szCs w:val="28"/>
        </w:rPr>
        <w:t>该项目资金由财政拨付，系2023年本级资金，共安排预算1801.16万元，为2023年年初预算批复项目</w:t>
      </w:r>
      <w:r>
        <w:rPr>
          <w:rFonts w:hint="eastAsia" w:ascii="仿宋_GB2312"/>
          <w:szCs w:val="28"/>
          <w:lang w:eastAsia="zh-CN"/>
        </w:rPr>
        <w:t>。</w:t>
      </w:r>
    </w:p>
    <w:p>
      <w:pPr>
        <w:spacing w:line="360" w:lineRule="auto"/>
        <w:ind w:firstLine="562"/>
        <w:rPr>
          <w:rFonts w:hint="default" w:ascii="仿宋_GB2312" w:eastAsia="仿宋_GB2312"/>
          <w:szCs w:val="28"/>
          <w:lang w:val="en-US" w:eastAsia="zh-CN"/>
        </w:rPr>
      </w:pPr>
      <w:r>
        <w:rPr>
          <w:rFonts w:hint="eastAsia" w:ascii="仿宋_GB2312"/>
          <w:szCs w:val="28"/>
        </w:rPr>
        <w:t>该项目资金使用情况：</w:t>
      </w:r>
      <w:r>
        <w:rPr>
          <w:rFonts w:hint="eastAsia" w:ascii="仿宋_GB2312"/>
          <w:szCs w:val="28"/>
          <w:highlight w:val="yellow"/>
          <w:lang w:val="en-US" w:eastAsia="zh-CN"/>
        </w:rPr>
        <w:t>2023年9月财政资金拨付到位1673587元，</w:t>
      </w:r>
      <w:r>
        <w:rPr>
          <w:rFonts w:hint="eastAsia" w:ascii="仿宋_GB2312"/>
          <w:szCs w:val="28"/>
          <w:highlight w:val="yellow"/>
        </w:rPr>
        <w:t>资金直接支付到</w:t>
      </w:r>
      <w:r>
        <w:rPr>
          <w:rFonts w:hint="eastAsia" w:ascii="仿宋_GB2312"/>
          <w:szCs w:val="28"/>
          <w:highlight w:val="yellow"/>
          <w:lang w:val="en-US" w:eastAsia="zh-CN"/>
        </w:rPr>
        <w:t>各</w:t>
      </w:r>
      <w:r>
        <w:rPr>
          <w:rFonts w:hint="eastAsia" w:ascii="仿宋_GB2312"/>
          <w:szCs w:val="28"/>
          <w:highlight w:val="yellow"/>
        </w:rPr>
        <w:t>供应商</w:t>
      </w:r>
      <w:r>
        <w:rPr>
          <w:rFonts w:hint="eastAsia" w:ascii="仿宋_GB2312"/>
          <w:szCs w:val="28"/>
          <w:highlight w:val="yellow"/>
          <w:lang w:val="en-US" w:eastAsia="zh-CN"/>
        </w:rPr>
        <w:t>；2023年11月财政资金拨付到位813000元，</w:t>
      </w:r>
      <w:r>
        <w:rPr>
          <w:rFonts w:hint="eastAsia" w:ascii="仿宋_GB2312"/>
          <w:szCs w:val="28"/>
          <w:highlight w:val="yellow"/>
        </w:rPr>
        <w:t>资金直接支付到供应商</w:t>
      </w:r>
      <w:r>
        <w:rPr>
          <w:rFonts w:hint="eastAsia" w:ascii="仿宋_GB2312"/>
          <w:szCs w:val="28"/>
          <w:highlight w:val="yellow"/>
          <w:lang w:val="en-US" w:eastAsia="zh-CN"/>
        </w:rPr>
        <w:t>；2023年12月财政资金拨付到位393150元，</w:t>
      </w:r>
      <w:r>
        <w:rPr>
          <w:rFonts w:hint="eastAsia" w:ascii="仿宋_GB2312"/>
          <w:szCs w:val="28"/>
          <w:highlight w:val="yellow"/>
        </w:rPr>
        <w:t>资金直接支付到供应商</w:t>
      </w:r>
      <w:r>
        <w:rPr>
          <w:rFonts w:hint="eastAsia" w:ascii="仿宋_GB2312"/>
          <w:szCs w:val="28"/>
          <w:highlight w:val="yellow"/>
          <w:lang w:eastAsia="zh-CN"/>
        </w:rPr>
        <w:t>，</w:t>
      </w:r>
      <w:r>
        <w:rPr>
          <w:rFonts w:hint="eastAsia" w:ascii="仿宋_GB2312"/>
          <w:szCs w:val="28"/>
          <w:highlight w:val="yellow"/>
          <w:lang w:val="en-US" w:eastAsia="zh-CN"/>
        </w:rPr>
        <w:t>到位率为16%</w:t>
      </w:r>
    </w:p>
    <w:p>
      <w:pPr>
        <w:spacing w:line="360" w:lineRule="auto"/>
        <w:ind w:firstLine="562"/>
        <w:rPr>
          <w:rFonts w:hint="eastAsia" w:ascii="仿宋_GB2312"/>
          <w:szCs w:val="28"/>
        </w:rPr>
      </w:pPr>
      <w:r>
        <w:rPr>
          <w:rFonts w:hint="eastAsia" w:ascii="仿宋_GB2312"/>
          <w:szCs w:val="28"/>
        </w:rPr>
        <w:t>故资金到位率指标得分</w:t>
      </w:r>
      <w:r>
        <w:rPr>
          <w:rFonts w:hint="eastAsia" w:ascii="仿宋_GB2312"/>
          <w:szCs w:val="28"/>
          <w:lang w:val="en-US" w:eastAsia="zh-CN"/>
        </w:rPr>
        <w:t>0.8</w:t>
      </w:r>
      <w:r>
        <w:rPr>
          <w:rFonts w:hint="eastAsia" w:ascii="仿宋_GB2312"/>
          <w:szCs w:val="28"/>
        </w:rPr>
        <w:t>分。</w:t>
      </w:r>
    </w:p>
    <w:p>
      <w:pPr>
        <w:spacing w:line="360" w:lineRule="auto"/>
        <w:ind w:firstLine="560"/>
        <w:rPr>
          <w:rFonts w:ascii="仿宋_GB2312"/>
          <w:szCs w:val="28"/>
        </w:rPr>
      </w:pPr>
    </w:p>
    <w:p>
      <w:pPr>
        <w:pStyle w:val="5"/>
        <w:ind w:firstLine="560"/>
        <w:rPr>
          <w:rFonts w:hint="default" w:ascii="仿宋_GB2312"/>
          <w:szCs w:val="28"/>
          <w:lang w:val="en-US"/>
        </w:rPr>
      </w:pPr>
      <w:r>
        <w:rPr>
          <w:rFonts w:hint="eastAsia" w:ascii="仿宋_GB2312"/>
          <w:b/>
          <w:bCs/>
          <w:szCs w:val="28"/>
        </w:rPr>
        <w:t>预算执行率：</w:t>
      </w:r>
      <w:r>
        <w:rPr>
          <w:rFonts w:hint="eastAsia" w:ascii="仿宋_GB2312" w:hAnsi="Calibri" w:eastAsia="仿宋_GB2312" w:cs="黑体"/>
          <w:kern w:val="2"/>
          <w:sz w:val="28"/>
          <w:szCs w:val="28"/>
          <w:lang w:val="en-US" w:eastAsia="zh-CN" w:bidi="ar-SA"/>
        </w:rPr>
        <w:t>预算资金执行情况</w:t>
      </w:r>
      <w:r>
        <w:rPr>
          <w:rFonts w:hint="eastAsia" w:ascii="仿宋_GB2312" w:cs="黑体"/>
          <w:kern w:val="2"/>
          <w:sz w:val="28"/>
          <w:szCs w:val="28"/>
          <w:lang w:val="en-US" w:eastAsia="zh-CN" w:bidi="ar-SA"/>
        </w:rPr>
        <w:t>为</w:t>
      </w:r>
      <w:r>
        <w:rPr>
          <w:rFonts w:hint="eastAsia" w:ascii="仿宋_GB2312" w:hAnsi="Calibri" w:eastAsia="仿宋_GB2312" w:cs="黑体"/>
          <w:kern w:val="2"/>
          <w:sz w:val="28"/>
          <w:szCs w:val="28"/>
          <w:lang w:val="en-US" w:eastAsia="zh-CN" w:bidi="ar-SA"/>
        </w:rPr>
        <w:t>2023年9月财政资金拨付到位，向新疆宇丰科技有限责任公司支付北门校区教师用电脑、学生计算机教室机房、LED显示屏项目首付款614596；2023年9月财政资金拨付到位，向新疆吉瑞祥科技股份有限公司支付河马泉校区教学办公家具设备购置首付款568991元；2023年9月财政资金拨付到位，向新疆冠马奔腾家具有限责任公司支付河马泉校区教学办公家具采购首付款490000元；2023年11月财政资金拨付到位，向新疆鹏森科技股份有限公司支付河马泉校区教学办公家具设备采购款813000元；2023年12月财政资金拨付到位，向新疆时空信息技术有限公司支付绿谷校区视频监控设备及存储服务器扩容设备购置项目款393150元。</w:t>
      </w:r>
      <w:r>
        <w:rPr>
          <w:rFonts w:hint="eastAsia" w:ascii="仿宋_GB2312" w:cs="黑体"/>
          <w:kern w:val="2"/>
          <w:sz w:val="28"/>
          <w:szCs w:val="28"/>
          <w:lang w:val="en-US" w:eastAsia="zh-CN" w:bidi="ar-SA"/>
        </w:rPr>
        <w:t>共执行287.9737万元，得分5</w:t>
      </w:r>
    </w:p>
    <w:p>
      <w:pPr>
        <w:spacing w:line="360" w:lineRule="auto"/>
        <w:ind w:firstLine="562"/>
        <w:rPr>
          <w:rFonts w:ascii="仿宋_GB2312"/>
          <w:b/>
          <w:bCs/>
          <w:szCs w:val="28"/>
        </w:rPr>
      </w:pPr>
    </w:p>
    <w:p>
      <w:pPr>
        <w:spacing w:line="360" w:lineRule="auto"/>
        <w:ind w:firstLine="562"/>
        <w:rPr>
          <w:rFonts w:ascii="仿宋_GB2312"/>
          <w:szCs w:val="28"/>
        </w:rPr>
      </w:pPr>
      <w:r>
        <w:rPr>
          <w:rFonts w:hint="eastAsia" w:ascii="仿宋_GB2312"/>
          <w:b/>
          <w:bCs/>
          <w:szCs w:val="28"/>
        </w:rPr>
        <w:t>资金使用合规性：</w:t>
      </w:r>
      <w:r>
        <w:rPr>
          <w:rFonts w:hint="eastAsia" w:ascii="仿宋_GB2312"/>
          <w:szCs w:val="28"/>
        </w:rPr>
        <w:t>本项目资金的使用符合《中华人民共和国政府采购法》、《中华人民共和国招标投标法》、《关于印发&lt;新疆维吾尔自治区政府采购电子卖场管理暂行办法&gt;的通知》（新财购〔2019〕27号）、《关于印发&lt;新疆维吾尔自治区2021-2022年度政府集中采购目录及标准&gt;的通知》（新财购〔2020〕15号）、《关于开展政府采购意向公开工作的通知》（新财购〔2021〕1号）、《关于政府采购深化“放管服”改革优化营商环境工作的通知》（乌财采监〔2021〕3号）等法律法规和文件规定，结合学校实际以及</w:t>
      </w:r>
      <w:r>
        <w:rPr>
          <w:rFonts w:hint="eastAsia" w:ascii="仿宋_GB2312"/>
          <w:szCs w:val="28"/>
          <w:lang w:val="en-US" w:eastAsia="zh-CN"/>
        </w:rPr>
        <w:t>市级财政部门有关项目</w:t>
      </w:r>
      <w:r>
        <w:rPr>
          <w:rFonts w:hint="eastAsia" w:ascii="仿宋_GB2312"/>
          <w:szCs w:val="28"/>
        </w:rPr>
        <w:t>专项资金管理办法的规定。</w:t>
      </w:r>
      <w:r>
        <w:rPr>
          <w:rFonts w:hint="eastAsia" w:ascii="仿宋_GB2312"/>
          <w:szCs w:val="28"/>
          <w:lang w:val="en-US" w:eastAsia="zh-CN"/>
        </w:rPr>
        <w:t>学校项目采购</w:t>
      </w:r>
      <w:r>
        <w:rPr>
          <w:rFonts w:hint="eastAsia" w:ascii="仿宋_GB2312"/>
          <w:szCs w:val="28"/>
        </w:rPr>
        <w:t>审批程序</w:t>
      </w:r>
      <w:r>
        <w:rPr>
          <w:rFonts w:hint="eastAsia" w:ascii="仿宋_GB2312"/>
          <w:szCs w:val="28"/>
          <w:lang w:val="en-US" w:eastAsia="zh-CN"/>
        </w:rPr>
        <w:t>完全按照内控手册中相关部分履行</w:t>
      </w:r>
      <w:r>
        <w:rPr>
          <w:rFonts w:hint="eastAsia" w:ascii="仿宋_GB2312"/>
          <w:szCs w:val="28"/>
        </w:rPr>
        <w:t>，</w:t>
      </w:r>
      <w:r>
        <w:rPr>
          <w:rFonts w:hint="eastAsia" w:ascii="仿宋_GB2312"/>
          <w:szCs w:val="28"/>
          <w:lang w:val="en-US" w:eastAsia="zh-CN"/>
        </w:rPr>
        <w:t>各项采购</w:t>
      </w:r>
      <w:r>
        <w:rPr>
          <w:rFonts w:hint="eastAsia" w:ascii="仿宋_GB2312"/>
          <w:szCs w:val="28"/>
        </w:rPr>
        <w:t>需符合项目预算批复或合同规定的用途，不存在截留、挤占、挪用、虚列支出等情况。故资金使用合规性得分为3分。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13</w:t>
      </w:r>
      <w:r>
        <w:rPr>
          <w:rFonts w:hint="eastAsia" w:ascii="仿宋_GB2312" w:hAnsi="仿宋" w:cs="宋体"/>
          <w:b/>
          <w:kern w:val="0"/>
          <w:szCs w:val="28"/>
        </w:rPr>
        <w:t>分</w:t>
      </w:r>
      <w:r>
        <w:rPr>
          <w:rFonts w:hint="eastAsia" w:ascii="仿宋_GB2312" w:hAnsi="仿宋" w:cs="宋体"/>
          <w:b/>
          <w:kern w:val="0"/>
          <w:szCs w:val="28"/>
          <w:highlight w:val="yellow"/>
        </w:rPr>
        <w:t>，得分</w:t>
      </w:r>
      <w:r>
        <w:rPr>
          <w:rFonts w:hint="eastAsia" w:ascii="仿宋_GB2312" w:hAnsi="仿宋" w:cs="宋体"/>
          <w:b/>
          <w:kern w:val="0"/>
          <w:szCs w:val="28"/>
          <w:highlight w:val="yellow"/>
          <w:lang w:val="en-US" w:eastAsia="zh-CN"/>
        </w:rPr>
        <w:t>8.8</w:t>
      </w:r>
      <w:r>
        <w:rPr>
          <w:rFonts w:hint="eastAsia" w:ascii="仿宋_GB2312" w:hAnsi="仿宋" w:cs="宋体"/>
          <w:b/>
          <w:kern w:val="0"/>
          <w:szCs w:val="28"/>
        </w:rPr>
        <w:t>分。</w:t>
      </w:r>
    </w:p>
    <w:p>
      <w:pPr>
        <w:pStyle w:val="4"/>
        <w:ind w:firstLine="643"/>
      </w:pPr>
      <w:bookmarkStart w:id="43" w:name="_Toc165277247"/>
      <w:r>
        <w:t>2.</w:t>
      </w:r>
      <w:r>
        <w:rPr>
          <w:rFonts w:hint="eastAsia"/>
        </w:rPr>
        <w:t>组织实施</w:t>
      </w:r>
      <w:bookmarkEnd w:id="43"/>
    </w:p>
    <w:p>
      <w:pPr>
        <w:spacing w:line="360" w:lineRule="auto"/>
        <w:ind w:firstLine="562"/>
        <w:rPr>
          <w:rFonts w:ascii="仿宋_GB2312"/>
          <w:szCs w:val="28"/>
        </w:rPr>
      </w:pPr>
      <w:r>
        <w:rPr>
          <w:rFonts w:hint="eastAsia" w:ascii="仿宋_GB2312"/>
          <w:b/>
          <w:bCs/>
          <w:szCs w:val="28"/>
        </w:rPr>
        <w:t>管理制度健全性</w:t>
      </w:r>
      <w:r>
        <w:rPr>
          <w:rFonts w:hint="eastAsia" w:ascii="仿宋_GB2312"/>
          <w:szCs w:val="28"/>
        </w:rPr>
        <w:t>：</w:t>
      </w:r>
      <w:r>
        <w:rPr>
          <w:rFonts w:hint="eastAsia" w:ascii="仿宋_GB2312"/>
          <w:szCs w:val="28"/>
          <w:lang w:val="en-US" w:eastAsia="zh-CN"/>
        </w:rPr>
        <w:t>设备购置项目根据乌鲁木齐市第一中学内控制度进行管理</w:t>
      </w:r>
      <w:r>
        <w:rPr>
          <w:rFonts w:hint="eastAsia" w:ascii="仿宋_GB2312"/>
          <w:szCs w:val="28"/>
        </w:rPr>
        <w:t>，且制度合法、合规、完整，为项目顺利实施提供重要保障。故管理制度健全性得分为3分。</w:t>
      </w:r>
    </w:p>
    <w:p>
      <w:pPr>
        <w:spacing w:line="360" w:lineRule="auto"/>
        <w:ind w:firstLine="562"/>
        <w:rPr>
          <w:rFonts w:ascii="仿宋_GB2312"/>
          <w:szCs w:val="28"/>
        </w:rPr>
      </w:pPr>
      <w:r>
        <w:rPr>
          <w:rFonts w:hint="eastAsia" w:ascii="仿宋_GB2312"/>
          <w:b/>
          <w:bCs/>
          <w:szCs w:val="28"/>
        </w:rPr>
        <w:t>制度执行有效性：</w:t>
      </w:r>
      <w:r>
        <w:rPr>
          <w:rFonts w:hint="eastAsia" w:ascii="仿宋_GB2312"/>
          <w:szCs w:val="28"/>
        </w:rPr>
        <w:t>根据评价小组核查情况，</w:t>
      </w:r>
      <w:r>
        <w:rPr>
          <w:rFonts w:hint="eastAsia" w:ascii="仿宋_GB2312"/>
          <w:szCs w:val="28"/>
          <w:lang w:val="en-US" w:eastAsia="zh-CN"/>
        </w:rPr>
        <w:t>设备采购项目</w:t>
      </w:r>
      <w:r>
        <w:rPr>
          <w:rFonts w:hint="eastAsia" w:ascii="仿宋_GB2312"/>
          <w:szCs w:val="28"/>
        </w:rPr>
        <w:t>严格遵守相关法律法规和相关管理规定，项目调整及支出调整手续完备，整体管理合理有序，项目</w:t>
      </w:r>
      <w:r>
        <w:rPr>
          <w:rFonts w:hint="eastAsia" w:ascii="仿宋_GB2312"/>
          <w:szCs w:val="28"/>
          <w:lang w:val="en-US" w:eastAsia="zh-CN"/>
        </w:rPr>
        <w:t>验收</w:t>
      </w:r>
      <w:r>
        <w:rPr>
          <w:rFonts w:hint="eastAsia" w:ascii="仿宋_GB2312"/>
          <w:szCs w:val="28"/>
        </w:rPr>
        <w:t>完成后，及时将会计凭证、固定资产入库单等相关资料分类归档，制度执行有效。故制度执行有效性指标得分</w:t>
      </w:r>
      <w:r>
        <w:rPr>
          <w:rFonts w:ascii="仿宋_GB2312"/>
          <w:szCs w:val="28"/>
        </w:rPr>
        <w:t>4</w:t>
      </w:r>
      <w:r>
        <w:rPr>
          <w:rFonts w:hint="eastAsia" w:ascii="仿宋_GB2312"/>
          <w:szCs w:val="28"/>
        </w:rPr>
        <w:t>分。</w:t>
      </w:r>
    </w:p>
    <w:p>
      <w:pPr>
        <w:autoSpaceDE w:val="0"/>
        <w:spacing w:line="600" w:lineRule="exact"/>
        <w:ind w:firstLine="562"/>
        <w:rPr>
          <w:rFonts w:ascii="仿宋_GB2312" w:hAnsi="仿宋" w:cs="宋体"/>
          <w:b/>
          <w:kern w:val="0"/>
          <w:szCs w:val="28"/>
        </w:rPr>
      </w:pPr>
      <w:bookmarkStart w:id="44" w:name="_Hlk67670213"/>
      <w:r>
        <w:rPr>
          <w:rFonts w:hint="eastAsia" w:ascii="仿宋_GB2312" w:hAnsi="仿宋" w:cs="宋体"/>
          <w:b/>
          <w:kern w:val="0"/>
          <w:szCs w:val="28"/>
        </w:rPr>
        <w:t>综上，该指标满分</w:t>
      </w:r>
      <w:r>
        <w:rPr>
          <w:rFonts w:ascii="仿宋_GB2312" w:hAnsi="仿宋" w:cs="宋体"/>
          <w:b/>
          <w:kern w:val="0"/>
          <w:szCs w:val="28"/>
        </w:rPr>
        <w:t>7</w:t>
      </w:r>
      <w:r>
        <w:rPr>
          <w:rFonts w:hint="eastAsia" w:ascii="仿宋_GB2312" w:hAnsi="仿宋" w:cs="宋体"/>
          <w:b/>
          <w:kern w:val="0"/>
          <w:szCs w:val="28"/>
        </w:rPr>
        <w:t>分，得分</w:t>
      </w:r>
      <w:r>
        <w:rPr>
          <w:rFonts w:ascii="仿宋_GB2312" w:hAnsi="仿宋" w:cs="宋体"/>
          <w:b/>
          <w:kern w:val="0"/>
          <w:szCs w:val="28"/>
        </w:rPr>
        <w:t>7</w:t>
      </w:r>
      <w:r>
        <w:rPr>
          <w:rFonts w:hint="eastAsia" w:ascii="仿宋_GB2312" w:hAnsi="仿宋" w:cs="宋体"/>
          <w:b/>
          <w:kern w:val="0"/>
          <w:szCs w:val="28"/>
        </w:rPr>
        <w:t>分。</w:t>
      </w:r>
    </w:p>
    <w:bookmarkEnd w:id="44"/>
    <w:p>
      <w:pPr>
        <w:pStyle w:val="3"/>
        <w:ind w:firstLine="643"/>
        <w:rPr>
          <w:rFonts w:ascii="仿宋" w:hAnsi="仿宋" w:eastAsia="仿宋"/>
          <w:lang w:bidi="en-US"/>
        </w:rPr>
      </w:pPr>
      <w:bookmarkStart w:id="45" w:name="_Toc165277248"/>
      <w:bookmarkStart w:id="46" w:name="_Toc67911614"/>
      <w:r>
        <w:rPr>
          <w:rFonts w:hint="eastAsia" w:ascii="仿宋" w:hAnsi="仿宋" w:eastAsia="仿宋"/>
          <w:lang w:bidi="en-US"/>
        </w:rPr>
        <w:t>（三）项目产出情况</w:t>
      </w:r>
      <w:bookmarkEnd w:id="45"/>
      <w:bookmarkEnd w:id="46"/>
    </w:p>
    <w:p>
      <w:pPr>
        <w:spacing w:line="360" w:lineRule="auto"/>
        <w:ind w:firstLine="560"/>
        <w:rPr>
          <w:rFonts w:ascii="仿宋_GB2312"/>
          <w:szCs w:val="28"/>
        </w:rPr>
      </w:pPr>
      <w:r>
        <w:rPr>
          <w:rFonts w:hint="eastAsia" w:ascii="仿宋_GB2312"/>
          <w:szCs w:val="28"/>
        </w:rPr>
        <w:t>项目产出指标由</w:t>
      </w:r>
      <w:r>
        <w:rPr>
          <w:rFonts w:ascii="仿宋_GB2312"/>
          <w:szCs w:val="28"/>
        </w:rPr>
        <w:t>4</w:t>
      </w:r>
      <w:r>
        <w:rPr>
          <w:rFonts w:hint="eastAsia" w:ascii="仿宋_GB2312"/>
          <w:szCs w:val="28"/>
        </w:rPr>
        <w:t>个二级指标和</w:t>
      </w:r>
      <w:r>
        <w:rPr>
          <w:rFonts w:hint="eastAsia" w:ascii="仿宋_GB2312"/>
          <w:szCs w:val="28"/>
          <w:lang w:val="en-US" w:eastAsia="zh-CN"/>
        </w:rPr>
        <w:t>12</w:t>
      </w:r>
      <w:r>
        <w:rPr>
          <w:rFonts w:hint="eastAsia" w:ascii="仿宋_GB2312"/>
          <w:szCs w:val="28"/>
        </w:rPr>
        <w:t>个三级指标构成，权重为</w:t>
      </w:r>
      <w:r>
        <w:rPr>
          <w:rFonts w:hint="eastAsia" w:ascii="仿宋_GB2312"/>
          <w:szCs w:val="28"/>
          <w:lang w:val="en-US" w:eastAsia="zh-CN"/>
        </w:rPr>
        <w:t>49</w:t>
      </w:r>
      <w:r>
        <w:rPr>
          <w:rFonts w:hint="eastAsia" w:ascii="仿宋_GB2312"/>
          <w:szCs w:val="28"/>
        </w:rPr>
        <w:t>分，实际得分</w:t>
      </w:r>
      <w:r>
        <w:rPr>
          <w:rFonts w:hint="eastAsia" w:ascii="仿宋_GB2312"/>
          <w:szCs w:val="28"/>
          <w:lang w:val="en-US" w:eastAsia="zh-CN"/>
        </w:rPr>
        <w:t>38.94</w:t>
      </w:r>
      <w:r>
        <w:rPr>
          <w:rFonts w:hint="eastAsia" w:ascii="仿宋_GB2312"/>
          <w:szCs w:val="28"/>
        </w:rPr>
        <w:t>分。</w:t>
      </w:r>
    </w:p>
    <w:p>
      <w:pPr>
        <w:pStyle w:val="4"/>
        <w:ind w:firstLine="643"/>
      </w:pPr>
      <w:bookmarkStart w:id="47" w:name="_Toc165277249"/>
      <w:r>
        <w:rPr>
          <w:rFonts w:hint="eastAsia"/>
        </w:rPr>
        <w:t>1</w:t>
      </w:r>
      <w:r>
        <w:t>.</w:t>
      </w:r>
      <w:r>
        <w:rPr>
          <w:rFonts w:hint="eastAsia"/>
        </w:rPr>
        <w:t>产出数量</w:t>
      </w:r>
      <w:bookmarkEnd w:id="47"/>
    </w:p>
    <w:p>
      <w:pPr>
        <w:spacing w:line="360" w:lineRule="auto"/>
        <w:ind w:firstLine="560"/>
        <w:rPr>
          <w:rFonts w:hint="eastAsia" w:ascii="仿宋_GB2312"/>
          <w:bCs/>
          <w:szCs w:val="28"/>
          <w:lang w:val="en-US" w:eastAsia="zh-CN"/>
        </w:rPr>
      </w:pPr>
      <w:r>
        <w:rPr>
          <w:rFonts w:hint="eastAsia" w:ascii="仿宋_GB2312"/>
          <w:bCs/>
          <w:szCs w:val="28"/>
        </w:rPr>
        <w:t>数量指标</w:t>
      </w:r>
      <w:r>
        <w:rPr>
          <w:rFonts w:hint="eastAsia" w:ascii="仿宋_GB2312"/>
          <w:bCs/>
          <w:szCs w:val="28"/>
          <w:lang w:val="en-US" w:eastAsia="zh-CN"/>
        </w:rPr>
        <w:t>“学生微机室”的目标值是1间，2023年度我单位实际完成1间。</w:t>
      </w:r>
    </w:p>
    <w:p>
      <w:pPr>
        <w:spacing w:line="360" w:lineRule="auto"/>
        <w:ind w:firstLine="560"/>
        <w:rPr>
          <w:rFonts w:hint="default" w:ascii="仿宋_GB2312"/>
          <w:bCs/>
          <w:szCs w:val="28"/>
          <w:highlight w:val="yellow"/>
          <w:lang w:val="en-US" w:eastAsia="zh-CN"/>
        </w:rPr>
      </w:pPr>
      <w:r>
        <w:rPr>
          <w:rFonts w:hint="eastAsia" w:ascii="仿宋_GB2312"/>
          <w:bCs/>
          <w:szCs w:val="28"/>
          <w:highlight w:val="yellow"/>
          <w:lang w:val="en-US" w:eastAsia="zh-CN"/>
        </w:rPr>
        <w:t>数量指标“北门校区购置教师用电脑”的目</w:t>
      </w:r>
      <w:r>
        <w:rPr>
          <w:rFonts w:hint="eastAsia" w:ascii="仿宋_GB2312"/>
          <w:bCs/>
          <w:szCs w:val="28"/>
          <w:highlight w:val="yellow"/>
        </w:rPr>
        <w:t>标值是</w:t>
      </w:r>
      <w:r>
        <w:rPr>
          <w:rFonts w:hint="eastAsia" w:ascii="仿宋_GB2312"/>
          <w:bCs/>
          <w:szCs w:val="28"/>
          <w:highlight w:val="yellow"/>
          <w:lang w:val="en-US" w:eastAsia="zh-CN"/>
        </w:rPr>
        <w:t>60台</w:t>
      </w:r>
      <w:r>
        <w:rPr>
          <w:rFonts w:hint="eastAsia" w:ascii="仿宋_GB2312"/>
          <w:bCs/>
          <w:szCs w:val="28"/>
          <w:highlight w:val="yellow"/>
        </w:rPr>
        <w:t>，</w:t>
      </w:r>
      <w:r>
        <w:rPr>
          <w:rFonts w:ascii="仿宋_GB2312"/>
          <w:bCs/>
          <w:szCs w:val="28"/>
          <w:highlight w:val="yellow"/>
        </w:rPr>
        <w:t>2023年度我单位</w:t>
      </w:r>
      <w:r>
        <w:rPr>
          <w:rFonts w:hint="eastAsia" w:ascii="仿宋_GB2312"/>
          <w:bCs/>
          <w:szCs w:val="28"/>
          <w:highlight w:val="yellow"/>
          <w:lang w:val="en-US" w:eastAsia="zh-CN"/>
        </w:rPr>
        <w:t>采购75台。实际采购单价比预算价低，增加了采购数量。</w:t>
      </w:r>
    </w:p>
    <w:p>
      <w:pPr>
        <w:spacing w:line="360" w:lineRule="auto"/>
        <w:ind w:firstLine="560"/>
        <w:rPr>
          <w:rFonts w:hint="eastAsia" w:cs="Calibri"/>
          <w:lang w:val="en-US" w:eastAsia="zh-CN"/>
        </w:rPr>
      </w:pPr>
      <w:r>
        <w:rPr>
          <w:rFonts w:hint="eastAsia" w:cs="Calibri"/>
          <w:lang w:val="en-US" w:eastAsia="zh-CN"/>
        </w:rPr>
        <w:t>数量指标“购置LED显示屏”的目标值是1套，2023年度我单位完成1套。</w:t>
      </w:r>
    </w:p>
    <w:p>
      <w:pPr>
        <w:spacing w:line="360" w:lineRule="auto"/>
        <w:ind w:firstLine="560"/>
        <w:rPr>
          <w:rFonts w:hint="eastAsia" w:cs="Calibri"/>
          <w:lang w:val="en-US" w:eastAsia="zh-CN"/>
        </w:rPr>
      </w:pPr>
      <w:r>
        <w:rPr>
          <w:rFonts w:hint="eastAsia" w:cs="Calibri"/>
          <w:lang w:val="en-US" w:eastAsia="zh-CN"/>
        </w:rPr>
        <w:t>数量指标“绿谷校区购置视频监控及存储服务器扩容系统”的目标值是1套，2023年度我单位完成1套。</w:t>
      </w:r>
    </w:p>
    <w:p>
      <w:pPr>
        <w:spacing w:line="360" w:lineRule="auto"/>
        <w:ind w:firstLine="560"/>
        <w:rPr>
          <w:rFonts w:hint="eastAsia" w:cs="Calibri"/>
          <w:lang w:val="en-US" w:eastAsia="zh-CN"/>
        </w:rPr>
      </w:pPr>
      <w:r>
        <w:rPr>
          <w:rFonts w:hint="eastAsia" w:cs="Calibri"/>
          <w:lang w:val="en-US" w:eastAsia="zh-CN"/>
        </w:rPr>
        <w:t>数量指标“河马泉校区设备采购项目”的目标值是1个，2023年度我单位完成河马泉校区设备采购项目其中教学一体机设备、智慧校园综合平台、视频展示设备、窗帘采购、教学用课桌椅、办公家具、开放实验室均已完成招标并且进入实施阶段，另外天象馆设备、初中实验室仪器、校园文化建设因中央资金未到位无法执行，饮水机项目因投诉停止招标活动。</w:t>
      </w:r>
    </w:p>
    <w:p>
      <w:pPr>
        <w:spacing w:line="360" w:lineRule="auto"/>
        <w:ind w:firstLine="560"/>
        <w:rPr>
          <w:rFonts w:hint="default" w:cs="Calibri"/>
          <w:highlight w:val="none"/>
          <w:lang w:val="en-US" w:eastAsia="zh-CN"/>
        </w:rPr>
      </w:pPr>
      <w:r>
        <w:rPr>
          <w:rFonts w:hint="eastAsia" w:cs="Calibri"/>
          <w:highlight w:val="none"/>
          <w:lang w:val="en-US" w:eastAsia="zh-CN"/>
        </w:rPr>
        <w:t>得分20分</w:t>
      </w:r>
    </w:p>
    <w:p>
      <w:pPr>
        <w:spacing w:line="360" w:lineRule="auto"/>
        <w:ind w:firstLine="560"/>
        <w:rPr>
          <w:rFonts w:hint="default" w:ascii="仿宋_GB2312"/>
          <w:bCs/>
          <w:szCs w:val="28"/>
          <w:lang w:val="en-US" w:eastAsia="zh-CN"/>
        </w:rPr>
      </w:pPr>
    </w:p>
    <w:p>
      <w:pPr>
        <w:pStyle w:val="4"/>
        <w:ind w:firstLine="643"/>
      </w:pPr>
      <w:bookmarkStart w:id="48" w:name="_Toc165277250"/>
      <w:r>
        <w:rPr>
          <w:rFonts w:hint="eastAsia"/>
        </w:rPr>
        <w:t>2</w:t>
      </w:r>
      <w:r>
        <w:t>.</w:t>
      </w:r>
      <w:r>
        <w:rPr>
          <w:rFonts w:hint="eastAsia"/>
        </w:rPr>
        <w:t>产出质量</w:t>
      </w:r>
      <w:bookmarkEnd w:id="48"/>
    </w:p>
    <w:p>
      <w:pPr>
        <w:spacing w:line="360" w:lineRule="auto"/>
        <w:ind w:firstLine="562"/>
        <w:rPr>
          <w:rFonts w:hint="eastAsia" w:ascii="仿宋_GB2312"/>
          <w:szCs w:val="28"/>
        </w:rPr>
      </w:pPr>
      <w:r>
        <w:rPr>
          <w:rFonts w:hint="eastAsia" w:ascii="仿宋_GB2312"/>
          <w:b/>
          <w:bCs/>
          <w:szCs w:val="28"/>
          <w:lang w:val="en-US" w:eastAsia="zh-CN"/>
        </w:rPr>
        <w:t>设备验收通过</w:t>
      </w:r>
      <w:r>
        <w:rPr>
          <w:rFonts w:hint="eastAsia" w:ascii="仿宋_GB2312"/>
          <w:b/>
          <w:bCs/>
          <w:szCs w:val="28"/>
        </w:rPr>
        <w:t>率：</w:t>
      </w:r>
      <w:r>
        <w:rPr>
          <w:rFonts w:hint="eastAsia" w:ascii="仿宋_GB2312"/>
          <w:lang w:val="en-US" w:eastAsia="zh-CN"/>
        </w:rPr>
        <w:t>学生微机室</w:t>
      </w:r>
      <w:r>
        <w:rPr>
          <w:rFonts w:ascii="仿宋_GB2312"/>
        </w:rPr>
        <w:t>;</w:t>
      </w:r>
      <w:r>
        <w:rPr>
          <w:rFonts w:hint="eastAsia" w:ascii="仿宋_GB2312"/>
          <w:lang w:val="en-US" w:eastAsia="zh-CN"/>
        </w:rPr>
        <w:t>北门校区购置教师用电脑</w:t>
      </w:r>
      <w:r>
        <w:rPr>
          <w:rFonts w:ascii="仿宋_GB2312"/>
        </w:rPr>
        <w:t>;</w:t>
      </w:r>
      <w:r>
        <w:rPr>
          <w:rFonts w:hint="eastAsia" w:ascii="仿宋_GB2312"/>
          <w:lang w:val="en-US" w:eastAsia="zh-CN"/>
        </w:rPr>
        <w:t>购置LED显示屏项目；绿谷校区购置视频监控及存储服务器扩容系统</w:t>
      </w:r>
      <w:r>
        <w:rPr>
          <w:rFonts w:hint="eastAsia" w:cs="Calibri"/>
          <w:lang w:val="en-US" w:eastAsia="zh-CN"/>
        </w:rPr>
        <w:t>；以上项目均已完成验收，河马泉设备采购中窗帘采购、开放实验室完成验收，</w:t>
      </w:r>
      <w:r>
        <w:rPr>
          <w:rFonts w:hint="eastAsia" w:ascii="仿宋_GB2312"/>
          <w:szCs w:val="28"/>
        </w:rPr>
        <w:t>故实际</w:t>
      </w:r>
      <w:r>
        <w:rPr>
          <w:rFonts w:hint="eastAsia" w:ascii="仿宋_GB2312"/>
          <w:szCs w:val="28"/>
          <w:lang w:val="en-US" w:eastAsia="zh-CN"/>
        </w:rPr>
        <w:t>验收通过</w:t>
      </w:r>
      <w:r>
        <w:rPr>
          <w:rFonts w:hint="eastAsia" w:ascii="仿宋_GB2312"/>
          <w:szCs w:val="28"/>
        </w:rPr>
        <w:t>率得分为</w:t>
      </w:r>
      <w:r>
        <w:rPr>
          <w:rFonts w:hint="eastAsia" w:ascii="仿宋_GB2312"/>
          <w:szCs w:val="28"/>
          <w:lang w:val="en-US" w:eastAsia="zh-CN"/>
        </w:rPr>
        <w:t>4</w:t>
      </w:r>
      <w:r>
        <w:rPr>
          <w:rFonts w:hint="eastAsia" w:ascii="仿宋_GB2312"/>
          <w:szCs w:val="28"/>
        </w:rPr>
        <w:t>分。</w:t>
      </w:r>
    </w:p>
    <w:p>
      <w:pPr>
        <w:pStyle w:val="4"/>
        <w:ind w:firstLine="643"/>
      </w:pPr>
      <w:bookmarkStart w:id="49" w:name="_Toc165277251"/>
      <w:r>
        <w:rPr>
          <w:rFonts w:hint="eastAsia"/>
        </w:rPr>
        <w:t>3</w:t>
      </w:r>
      <w:r>
        <w:t>.</w:t>
      </w:r>
      <w:r>
        <w:rPr>
          <w:rFonts w:hint="eastAsia"/>
        </w:rPr>
        <w:t>产出时效</w:t>
      </w:r>
      <w:bookmarkEnd w:id="49"/>
    </w:p>
    <w:p>
      <w:pPr>
        <w:spacing w:line="360" w:lineRule="auto"/>
        <w:ind w:firstLine="562"/>
        <w:rPr>
          <w:rFonts w:hint="eastAsia" w:ascii="仿宋_GB2312"/>
          <w:szCs w:val="28"/>
        </w:rPr>
      </w:pPr>
      <w:r>
        <w:rPr>
          <w:rFonts w:hint="eastAsia" w:ascii="仿宋_GB2312"/>
          <w:b/>
          <w:bCs/>
          <w:szCs w:val="28"/>
          <w:lang w:val="en-US" w:eastAsia="zh-CN"/>
        </w:rPr>
        <w:t>项目完成及时率：</w:t>
      </w:r>
      <w:r>
        <w:rPr>
          <w:rFonts w:hint="eastAsia" w:ascii="仿宋_GB2312"/>
          <w:lang w:val="en-US" w:eastAsia="zh-CN"/>
        </w:rPr>
        <w:t>学生微机室</w:t>
      </w:r>
      <w:r>
        <w:rPr>
          <w:rFonts w:ascii="仿宋_GB2312"/>
        </w:rPr>
        <w:t>;</w:t>
      </w:r>
      <w:r>
        <w:rPr>
          <w:rFonts w:hint="eastAsia" w:ascii="仿宋_GB2312"/>
          <w:lang w:val="en-US" w:eastAsia="zh-CN"/>
        </w:rPr>
        <w:t>北门校区购置教师用电脑</w:t>
      </w:r>
      <w:r>
        <w:rPr>
          <w:rFonts w:ascii="仿宋_GB2312"/>
        </w:rPr>
        <w:t>;</w:t>
      </w:r>
      <w:r>
        <w:rPr>
          <w:rFonts w:hint="eastAsia" w:ascii="仿宋_GB2312"/>
          <w:lang w:val="en-US" w:eastAsia="zh-CN"/>
        </w:rPr>
        <w:t>购置LED显示屏项目；绿谷校区购置视频监控及存储服务器扩容系统</w:t>
      </w:r>
      <w:r>
        <w:rPr>
          <w:rFonts w:hint="eastAsia" w:cs="Calibri"/>
          <w:lang w:val="en-US" w:eastAsia="zh-CN"/>
        </w:rPr>
        <w:t>；以上项目均已完成验收，河马泉设备采购中窗帘采购、开放实验室完成验收，其余项目应土建</w:t>
      </w:r>
      <w:r>
        <w:rPr>
          <w:rFonts w:hint="eastAsia" w:cs="Calibri"/>
          <w:highlight w:val="yellow"/>
          <w:lang w:val="en-US" w:eastAsia="zh-CN"/>
        </w:rPr>
        <w:t>施工问题无施工条件截至2023年底还未完成，5个子项目完全完成4个项目</w:t>
      </w:r>
      <w:r>
        <w:rPr>
          <w:rFonts w:hint="eastAsia" w:ascii="仿宋_GB2312"/>
          <w:szCs w:val="28"/>
          <w:highlight w:val="yellow"/>
        </w:rPr>
        <w:t>故实际完成</w:t>
      </w:r>
      <w:r>
        <w:rPr>
          <w:rFonts w:hint="eastAsia" w:ascii="仿宋_GB2312"/>
          <w:szCs w:val="28"/>
          <w:highlight w:val="yellow"/>
          <w:lang w:val="en-US" w:eastAsia="zh-CN"/>
        </w:rPr>
        <w:t>及时</w:t>
      </w:r>
      <w:r>
        <w:rPr>
          <w:rFonts w:hint="eastAsia" w:ascii="仿宋_GB2312"/>
          <w:szCs w:val="28"/>
          <w:highlight w:val="yellow"/>
        </w:rPr>
        <w:t>率</w:t>
      </w:r>
      <w:r>
        <w:rPr>
          <w:rFonts w:hint="eastAsia" w:ascii="仿宋_GB2312"/>
          <w:szCs w:val="28"/>
          <w:highlight w:val="yellow"/>
          <w:lang w:val="en-US" w:eastAsia="zh-CN"/>
        </w:rPr>
        <w:t>为80%</w:t>
      </w:r>
      <w:r>
        <w:rPr>
          <w:rFonts w:hint="eastAsia" w:ascii="仿宋_GB2312"/>
          <w:szCs w:val="28"/>
          <w:highlight w:val="yellow"/>
        </w:rPr>
        <w:t>得分为</w:t>
      </w:r>
      <w:r>
        <w:rPr>
          <w:rFonts w:hint="eastAsia" w:ascii="仿宋_GB2312"/>
          <w:szCs w:val="28"/>
          <w:highlight w:val="yellow"/>
          <w:lang w:val="en-US" w:eastAsia="zh-CN"/>
        </w:rPr>
        <w:t>4</w:t>
      </w:r>
      <w:r>
        <w:rPr>
          <w:rFonts w:hint="eastAsia" w:ascii="仿宋_GB2312"/>
          <w:szCs w:val="28"/>
          <w:highlight w:val="yellow"/>
        </w:rPr>
        <w:t>分。</w:t>
      </w:r>
    </w:p>
    <w:p>
      <w:pPr>
        <w:spacing w:line="360" w:lineRule="auto"/>
        <w:ind w:firstLine="562"/>
        <w:rPr>
          <w:rFonts w:hint="eastAsia" w:ascii="仿宋_GB2312"/>
          <w:b/>
          <w:bCs/>
          <w:szCs w:val="28"/>
        </w:rPr>
      </w:pPr>
    </w:p>
    <w:p>
      <w:pPr>
        <w:pStyle w:val="4"/>
      </w:pPr>
      <w:bookmarkStart w:id="50" w:name="_Toc165277252"/>
      <w:r>
        <w:rPr>
          <w:rFonts w:hint="eastAsia"/>
        </w:rPr>
        <w:t>4</w:t>
      </w:r>
      <w:r>
        <w:t>.</w:t>
      </w:r>
      <w:r>
        <w:rPr>
          <w:rFonts w:hint="eastAsia"/>
        </w:rPr>
        <w:t>产出成本</w:t>
      </w:r>
      <w:bookmarkEnd w:id="50"/>
    </w:p>
    <w:p>
      <w:pPr>
        <w:spacing w:line="360" w:lineRule="auto"/>
        <w:ind w:firstLine="562"/>
        <w:rPr>
          <w:rFonts w:ascii="仿宋_GB2312"/>
          <w:bCs/>
          <w:szCs w:val="28"/>
        </w:rPr>
      </w:pPr>
      <w:r>
        <w:rPr>
          <w:rFonts w:hint="eastAsia" w:ascii="Calibri" w:hAnsi="Calibri" w:eastAsia="仿宋_GB2312" w:cs="黑体"/>
          <w:b/>
          <w:bCs/>
          <w:kern w:val="2"/>
          <w:sz w:val="32"/>
          <w:szCs w:val="32"/>
          <w:lang w:val="en-US" w:eastAsia="zh-CN" w:bidi="ar-SA"/>
        </w:rPr>
        <w:t>购置学生机房成本</w:t>
      </w:r>
      <w:r>
        <w:rPr>
          <w:rFonts w:hint="eastAsia" w:ascii="仿宋_GB2312"/>
          <w:b/>
          <w:bCs/>
          <w:szCs w:val="28"/>
        </w:rPr>
        <w:t>：</w:t>
      </w:r>
      <w:r>
        <w:rPr>
          <w:rFonts w:hint="eastAsia" w:ascii="仿宋_GB2312"/>
          <w:bCs/>
          <w:szCs w:val="28"/>
        </w:rPr>
        <w:t>本项目</w:t>
      </w:r>
      <w:r>
        <w:rPr>
          <w:rFonts w:hint="eastAsia" w:ascii="仿宋_GB2312"/>
          <w:bCs/>
          <w:szCs w:val="28"/>
          <w:lang w:val="en-US" w:eastAsia="zh-CN"/>
        </w:rPr>
        <w:t>目标为55万元，</w:t>
      </w:r>
      <w:r>
        <w:rPr>
          <w:rFonts w:hint="eastAsia" w:ascii="仿宋_GB2312"/>
          <w:bCs/>
          <w:szCs w:val="28"/>
        </w:rPr>
        <w:t>实际支出</w:t>
      </w:r>
      <w:r>
        <w:rPr>
          <w:rFonts w:hint="eastAsia" w:ascii="仿宋_GB2312"/>
          <w:bCs/>
          <w:szCs w:val="28"/>
          <w:lang w:val="en-US" w:eastAsia="zh-CN"/>
        </w:rPr>
        <w:t>22.324</w:t>
      </w:r>
      <w:r>
        <w:rPr>
          <w:rFonts w:hint="eastAsia" w:ascii="仿宋_GB2312"/>
          <w:bCs/>
          <w:szCs w:val="28"/>
        </w:rPr>
        <w:t>万元，无超支情况，项目完成，</w:t>
      </w:r>
      <w:r>
        <w:rPr>
          <w:rFonts w:hint="eastAsia" w:ascii="仿宋_GB2312"/>
          <w:bCs/>
          <w:szCs w:val="28"/>
          <w:lang w:val="en-US" w:eastAsia="zh-CN"/>
        </w:rPr>
        <w:t>部分</w:t>
      </w:r>
      <w:r>
        <w:rPr>
          <w:rFonts w:hint="eastAsia" w:cs="Calibri"/>
          <w:lang w:val="en-US" w:eastAsia="zh-CN"/>
        </w:rPr>
        <w:t>因财政原因还未完全支付，</w:t>
      </w:r>
      <w:r>
        <w:rPr>
          <w:rFonts w:hint="eastAsia" w:ascii="仿宋_GB2312"/>
          <w:bCs/>
          <w:szCs w:val="28"/>
        </w:rPr>
        <w:t>得分为</w:t>
      </w:r>
      <w:r>
        <w:rPr>
          <w:rFonts w:hint="eastAsia" w:ascii="仿宋_GB2312"/>
          <w:bCs/>
          <w:szCs w:val="28"/>
          <w:lang w:val="en-US" w:eastAsia="zh-CN"/>
        </w:rPr>
        <w:t>1.62</w:t>
      </w:r>
      <w:r>
        <w:rPr>
          <w:rFonts w:ascii="仿宋_GB2312"/>
          <w:bCs/>
          <w:szCs w:val="28"/>
        </w:rPr>
        <w:t>。</w:t>
      </w:r>
    </w:p>
    <w:p>
      <w:pPr>
        <w:spacing w:line="360" w:lineRule="auto"/>
        <w:ind w:firstLine="562"/>
        <w:rPr>
          <w:rFonts w:ascii="仿宋_GB2312"/>
          <w:bCs/>
          <w:szCs w:val="28"/>
        </w:rPr>
      </w:pPr>
      <w:r>
        <w:rPr>
          <w:rFonts w:hint="eastAsia" w:ascii="Calibri" w:hAnsi="Calibri" w:eastAsia="仿宋_GB2312" w:cs="黑体"/>
          <w:b/>
          <w:bCs/>
          <w:kern w:val="2"/>
          <w:sz w:val="32"/>
          <w:szCs w:val="32"/>
          <w:lang w:val="en-US" w:eastAsia="zh-CN" w:bidi="ar-SA"/>
        </w:rPr>
        <w:t>北门校区购置教师用电脑成本</w:t>
      </w:r>
      <w:r>
        <w:rPr>
          <w:rFonts w:hint="eastAsia" w:ascii="仿宋_GB2312"/>
          <w:b/>
          <w:bCs/>
          <w:szCs w:val="28"/>
        </w:rPr>
        <w:t>：</w:t>
      </w:r>
      <w:r>
        <w:rPr>
          <w:rFonts w:hint="eastAsia" w:ascii="仿宋_GB2312"/>
          <w:bCs/>
          <w:szCs w:val="28"/>
        </w:rPr>
        <w:t>本项目</w:t>
      </w:r>
      <w:r>
        <w:rPr>
          <w:rFonts w:hint="eastAsia" w:ascii="仿宋_GB2312"/>
          <w:bCs/>
          <w:szCs w:val="28"/>
          <w:lang w:val="en-US" w:eastAsia="zh-CN"/>
        </w:rPr>
        <w:t>目标为单台7000元，</w:t>
      </w:r>
      <w:r>
        <w:rPr>
          <w:rFonts w:hint="eastAsia" w:ascii="仿宋_GB2312"/>
          <w:bCs/>
          <w:szCs w:val="28"/>
        </w:rPr>
        <w:t>实际</w:t>
      </w:r>
      <w:r>
        <w:rPr>
          <w:rFonts w:hint="eastAsia" w:ascii="仿宋_GB2312"/>
          <w:bCs/>
          <w:szCs w:val="28"/>
          <w:lang w:val="en-US" w:eastAsia="zh-CN"/>
        </w:rPr>
        <w:t>单台</w:t>
      </w:r>
      <w:r>
        <w:rPr>
          <w:rFonts w:hint="eastAsia" w:ascii="仿宋_GB2312"/>
          <w:bCs/>
          <w:szCs w:val="28"/>
        </w:rPr>
        <w:t>支出</w:t>
      </w:r>
      <w:r>
        <w:rPr>
          <w:rFonts w:hint="eastAsia" w:ascii="仿宋_GB2312"/>
          <w:bCs/>
          <w:szCs w:val="28"/>
          <w:lang w:val="en-US" w:eastAsia="zh-CN"/>
        </w:rPr>
        <w:t>6800</w:t>
      </w:r>
      <w:r>
        <w:rPr>
          <w:rFonts w:hint="eastAsia" w:ascii="仿宋_GB2312"/>
          <w:bCs/>
          <w:szCs w:val="28"/>
        </w:rPr>
        <w:t>元，无超支情况，项目完成，得分为</w:t>
      </w:r>
      <w:r>
        <w:rPr>
          <w:rFonts w:hint="eastAsia" w:ascii="仿宋_GB2312"/>
          <w:bCs/>
          <w:szCs w:val="28"/>
          <w:lang w:val="en-US" w:eastAsia="zh-CN"/>
        </w:rPr>
        <w:t>3.88</w:t>
      </w:r>
      <w:r>
        <w:rPr>
          <w:rFonts w:ascii="仿宋_GB2312"/>
          <w:bCs/>
          <w:szCs w:val="28"/>
        </w:rPr>
        <w:t>。</w:t>
      </w:r>
    </w:p>
    <w:p>
      <w:pPr>
        <w:spacing w:line="360" w:lineRule="auto"/>
        <w:ind w:firstLine="562"/>
        <w:rPr>
          <w:rFonts w:ascii="仿宋_GB2312"/>
          <w:bCs/>
          <w:szCs w:val="28"/>
        </w:rPr>
      </w:pPr>
      <w:r>
        <w:rPr>
          <w:rFonts w:hint="eastAsia" w:ascii="Calibri" w:hAnsi="Calibri" w:eastAsia="仿宋_GB2312" w:cs="黑体"/>
          <w:b/>
          <w:bCs/>
          <w:kern w:val="2"/>
          <w:sz w:val="32"/>
          <w:szCs w:val="32"/>
          <w:lang w:val="en-US" w:eastAsia="zh-CN" w:bidi="ar-SA"/>
        </w:rPr>
        <w:t>LED显示屏项目成本</w:t>
      </w:r>
      <w:r>
        <w:rPr>
          <w:rFonts w:hint="eastAsia" w:ascii="仿宋_GB2312"/>
          <w:b/>
          <w:bCs/>
          <w:szCs w:val="28"/>
        </w:rPr>
        <w:t>：</w:t>
      </w:r>
      <w:r>
        <w:rPr>
          <w:rFonts w:hint="eastAsia" w:ascii="仿宋_GB2312"/>
          <w:bCs/>
          <w:szCs w:val="28"/>
        </w:rPr>
        <w:t>本项目</w:t>
      </w:r>
      <w:r>
        <w:rPr>
          <w:rFonts w:hint="eastAsia" w:ascii="仿宋_GB2312"/>
          <w:bCs/>
          <w:szCs w:val="28"/>
          <w:lang w:val="en-US" w:eastAsia="zh-CN"/>
        </w:rPr>
        <w:t>目标为58.28万元</w:t>
      </w:r>
      <w:r>
        <w:rPr>
          <w:rFonts w:hint="eastAsia" w:ascii="仿宋_GB2312"/>
          <w:bCs/>
          <w:szCs w:val="28"/>
        </w:rPr>
        <w:t>实际支出</w:t>
      </w:r>
      <w:r>
        <w:rPr>
          <w:rFonts w:hint="eastAsia" w:ascii="仿宋_GB2312"/>
          <w:bCs/>
          <w:szCs w:val="28"/>
          <w:lang w:val="en-US" w:eastAsia="zh-CN"/>
        </w:rPr>
        <w:t>16.4376</w:t>
      </w:r>
      <w:r>
        <w:rPr>
          <w:rFonts w:hint="eastAsia" w:ascii="仿宋_GB2312"/>
          <w:bCs/>
          <w:szCs w:val="28"/>
        </w:rPr>
        <w:t>万元，无超支情况，项目完成，</w:t>
      </w:r>
      <w:r>
        <w:rPr>
          <w:rFonts w:hint="eastAsia" w:ascii="仿宋_GB2312"/>
          <w:bCs/>
          <w:szCs w:val="28"/>
          <w:lang w:val="en-US" w:eastAsia="zh-CN"/>
        </w:rPr>
        <w:t>部分</w:t>
      </w:r>
      <w:r>
        <w:rPr>
          <w:rFonts w:hint="eastAsia" w:cs="Calibri"/>
          <w:lang w:val="en-US" w:eastAsia="zh-CN"/>
        </w:rPr>
        <w:t>因财政原因还未完全支付，</w:t>
      </w:r>
      <w:r>
        <w:rPr>
          <w:rFonts w:hint="eastAsia" w:ascii="仿宋_GB2312"/>
          <w:bCs/>
          <w:szCs w:val="28"/>
        </w:rPr>
        <w:t>得分为</w:t>
      </w:r>
      <w:r>
        <w:rPr>
          <w:rFonts w:hint="eastAsia" w:ascii="仿宋_GB2312"/>
          <w:bCs/>
          <w:szCs w:val="28"/>
          <w:lang w:val="en-US" w:eastAsia="zh-CN"/>
        </w:rPr>
        <w:t>1.13</w:t>
      </w:r>
      <w:r>
        <w:rPr>
          <w:rFonts w:ascii="仿宋_GB2312"/>
          <w:bCs/>
          <w:szCs w:val="28"/>
        </w:rPr>
        <w:t>。</w:t>
      </w:r>
    </w:p>
    <w:p>
      <w:pPr>
        <w:spacing w:line="360" w:lineRule="auto"/>
        <w:ind w:firstLine="562"/>
        <w:rPr>
          <w:rFonts w:ascii="仿宋_GB2312"/>
          <w:bCs/>
          <w:szCs w:val="28"/>
        </w:rPr>
      </w:pPr>
      <w:r>
        <w:rPr>
          <w:rFonts w:hint="eastAsia" w:ascii="Calibri" w:hAnsi="Calibri" w:eastAsia="仿宋_GB2312" w:cs="黑体"/>
          <w:b/>
          <w:bCs/>
          <w:kern w:val="2"/>
          <w:sz w:val="32"/>
          <w:szCs w:val="32"/>
          <w:lang w:val="en-US" w:eastAsia="zh-CN" w:bidi="ar-SA"/>
        </w:rPr>
        <w:t>绿谷校区视频监控及存储服务器扩容系统</w:t>
      </w:r>
      <w:r>
        <w:rPr>
          <w:rFonts w:hint="eastAsia" w:cs="黑体"/>
          <w:b/>
          <w:bCs/>
          <w:kern w:val="2"/>
          <w:sz w:val="32"/>
          <w:szCs w:val="32"/>
          <w:lang w:val="en-US" w:eastAsia="zh-CN" w:bidi="ar-SA"/>
        </w:rPr>
        <w:t>成</w:t>
      </w:r>
      <w:r>
        <w:rPr>
          <w:rFonts w:hint="eastAsia" w:ascii="Calibri" w:hAnsi="Calibri" w:eastAsia="仿宋_GB2312" w:cs="黑体"/>
          <w:b/>
          <w:bCs/>
          <w:kern w:val="2"/>
          <w:sz w:val="32"/>
          <w:szCs w:val="32"/>
          <w:lang w:val="en-US" w:eastAsia="zh-CN" w:bidi="ar-SA"/>
        </w:rPr>
        <w:t>本</w:t>
      </w:r>
      <w:r>
        <w:rPr>
          <w:rFonts w:hint="eastAsia" w:ascii="仿宋_GB2312"/>
          <w:b/>
          <w:bCs/>
          <w:szCs w:val="28"/>
        </w:rPr>
        <w:t>：</w:t>
      </w:r>
      <w:r>
        <w:rPr>
          <w:rFonts w:hint="eastAsia" w:ascii="仿宋_GB2312"/>
          <w:bCs/>
          <w:szCs w:val="28"/>
        </w:rPr>
        <w:t>本项目</w:t>
      </w:r>
      <w:r>
        <w:rPr>
          <w:rFonts w:hint="eastAsia" w:ascii="仿宋_GB2312"/>
          <w:bCs/>
          <w:szCs w:val="28"/>
          <w:lang w:val="en-US" w:eastAsia="zh-CN"/>
        </w:rPr>
        <w:t>目标为41万元，</w:t>
      </w:r>
      <w:r>
        <w:rPr>
          <w:rFonts w:hint="eastAsia" w:ascii="仿宋_GB2312"/>
          <w:bCs/>
          <w:szCs w:val="28"/>
        </w:rPr>
        <w:t>实际支出39.315万元，无超支情况，项目资金全部完成，得分为</w:t>
      </w:r>
      <w:r>
        <w:rPr>
          <w:rFonts w:hint="eastAsia" w:ascii="仿宋_GB2312"/>
          <w:bCs/>
          <w:szCs w:val="28"/>
          <w:lang w:val="en-US" w:eastAsia="zh-CN"/>
        </w:rPr>
        <w:t>3.84</w:t>
      </w:r>
      <w:r>
        <w:rPr>
          <w:rFonts w:ascii="仿宋_GB2312"/>
          <w:bCs/>
          <w:szCs w:val="28"/>
        </w:rPr>
        <w:t>。</w:t>
      </w:r>
    </w:p>
    <w:p>
      <w:pPr>
        <w:spacing w:line="360" w:lineRule="auto"/>
        <w:ind w:firstLine="562"/>
        <w:rPr>
          <w:rFonts w:ascii="仿宋_GB2312"/>
          <w:bCs/>
          <w:szCs w:val="28"/>
        </w:rPr>
      </w:pPr>
      <w:r>
        <w:rPr>
          <w:rFonts w:hint="eastAsia" w:ascii="Calibri" w:hAnsi="Calibri" w:eastAsia="仿宋_GB2312" w:cs="黑体"/>
          <w:b/>
          <w:bCs/>
          <w:kern w:val="2"/>
          <w:sz w:val="32"/>
          <w:szCs w:val="32"/>
          <w:lang w:val="en-US" w:eastAsia="zh-CN" w:bidi="ar-SA"/>
        </w:rPr>
        <w:t>河马泉校区设备购置项目成本</w:t>
      </w:r>
      <w:r>
        <w:rPr>
          <w:rFonts w:hint="eastAsia" w:ascii="仿宋_GB2312"/>
          <w:b/>
          <w:bCs/>
          <w:szCs w:val="28"/>
        </w:rPr>
        <w:t>：</w:t>
      </w:r>
      <w:r>
        <w:rPr>
          <w:rFonts w:hint="eastAsia" w:ascii="仿宋_GB2312"/>
          <w:bCs/>
          <w:szCs w:val="28"/>
        </w:rPr>
        <w:t>本项目</w:t>
      </w:r>
      <w:r>
        <w:rPr>
          <w:rFonts w:hint="eastAsia" w:ascii="仿宋_GB2312"/>
          <w:bCs/>
          <w:szCs w:val="28"/>
          <w:lang w:val="en-US" w:eastAsia="zh-CN"/>
        </w:rPr>
        <w:t>目标为1604.88万元，</w:t>
      </w:r>
      <w:r>
        <w:rPr>
          <w:rFonts w:hint="eastAsia" w:ascii="仿宋_GB2312"/>
          <w:bCs/>
          <w:szCs w:val="28"/>
        </w:rPr>
        <w:t>实际支出</w:t>
      </w:r>
      <w:r>
        <w:rPr>
          <w:rFonts w:hint="eastAsia" w:ascii="仿宋_GB2312"/>
          <w:bCs/>
          <w:szCs w:val="28"/>
          <w:lang w:val="en-US" w:eastAsia="zh-CN"/>
        </w:rPr>
        <w:t>187.1991</w:t>
      </w:r>
      <w:r>
        <w:rPr>
          <w:rFonts w:hint="eastAsia" w:ascii="仿宋_GB2312"/>
          <w:bCs/>
          <w:szCs w:val="28"/>
        </w:rPr>
        <w:t>万元，无超支情况，</w:t>
      </w:r>
      <w:r>
        <w:rPr>
          <w:rFonts w:hint="eastAsia" w:cs="Calibri"/>
          <w:lang w:val="en-US" w:eastAsia="zh-CN"/>
        </w:rPr>
        <w:t>河马泉设备采购中窗帘采购、开放实验室完成验收，因财政原因还未完全支付，其余项目应土建施工问题无施工条件截至2023年底还未完成建设，</w:t>
      </w:r>
      <w:r>
        <w:rPr>
          <w:rFonts w:hint="eastAsia" w:ascii="仿宋_GB2312"/>
          <w:bCs/>
          <w:szCs w:val="28"/>
        </w:rPr>
        <w:t>得分为</w:t>
      </w:r>
      <w:r>
        <w:rPr>
          <w:rFonts w:hint="eastAsia" w:ascii="仿宋_GB2312"/>
          <w:bCs/>
          <w:szCs w:val="28"/>
          <w:lang w:val="en-US" w:eastAsia="zh-CN"/>
        </w:rPr>
        <w:t>0.47</w:t>
      </w:r>
      <w:r>
        <w:rPr>
          <w:rFonts w:ascii="仿宋_GB2312"/>
          <w:bCs/>
          <w:szCs w:val="28"/>
        </w:rPr>
        <w:t>。</w:t>
      </w:r>
    </w:p>
    <w:p>
      <w:pPr>
        <w:spacing w:line="360" w:lineRule="auto"/>
        <w:ind w:firstLine="562"/>
        <w:rPr>
          <w:rFonts w:ascii="仿宋_GB2312"/>
          <w:bCs/>
          <w:szCs w:val="28"/>
        </w:rPr>
      </w:pP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综上，该部分指标满分</w:t>
      </w:r>
      <w:r>
        <w:rPr>
          <w:rFonts w:hint="eastAsia" w:ascii="仿宋_GB2312" w:hAnsi="仿宋" w:cs="宋体"/>
          <w:b/>
          <w:kern w:val="0"/>
          <w:szCs w:val="28"/>
          <w:lang w:val="en-US" w:eastAsia="zh-CN"/>
        </w:rPr>
        <w:t>20</w:t>
      </w:r>
      <w:r>
        <w:rPr>
          <w:rFonts w:hint="eastAsia" w:ascii="仿宋_GB2312" w:hAnsi="仿宋" w:cs="宋体"/>
          <w:b/>
          <w:kern w:val="0"/>
          <w:szCs w:val="28"/>
        </w:rPr>
        <w:t>分，得分</w:t>
      </w:r>
      <w:r>
        <w:rPr>
          <w:rFonts w:hint="eastAsia" w:ascii="仿宋_GB2312" w:hAnsi="仿宋" w:cs="宋体"/>
          <w:b/>
          <w:kern w:val="0"/>
          <w:szCs w:val="28"/>
          <w:lang w:val="en-US" w:eastAsia="zh-CN"/>
        </w:rPr>
        <w:t>10.94</w:t>
      </w:r>
      <w:r>
        <w:rPr>
          <w:rFonts w:hint="eastAsia" w:ascii="仿宋_GB2312" w:hAnsi="仿宋" w:cs="宋体"/>
          <w:b/>
          <w:kern w:val="0"/>
          <w:szCs w:val="28"/>
        </w:rPr>
        <w:t>分。</w:t>
      </w:r>
    </w:p>
    <w:p>
      <w:pPr>
        <w:pStyle w:val="3"/>
        <w:ind w:firstLine="643"/>
        <w:rPr>
          <w:rFonts w:ascii="仿宋" w:hAnsi="仿宋" w:eastAsia="仿宋"/>
          <w:lang w:bidi="en-US"/>
        </w:rPr>
      </w:pPr>
      <w:bookmarkStart w:id="51" w:name="_Toc67911615"/>
      <w:bookmarkStart w:id="52" w:name="_Toc165277253"/>
      <w:r>
        <w:rPr>
          <w:rFonts w:hint="eastAsia" w:ascii="仿宋" w:hAnsi="仿宋" w:eastAsia="仿宋"/>
          <w:lang w:bidi="en-US"/>
        </w:rPr>
        <w:t>（四）项目效益情况</w:t>
      </w:r>
      <w:bookmarkEnd w:id="51"/>
      <w:bookmarkEnd w:id="52"/>
    </w:p>
    <w:p>
      <w:pPr>
        <w:spacing w:line="360" w:lineRule="auto"/>
        <w:ind w:firstLine="560"/>
        <w:rPr>
          <w:rFonts w:ascii="仿宋_GB2312"/>
          <w:szCs w:val="28"/>
        </w:rPr>
      </w:pPr>
      <w:r>
        <w:rPr>
          <w:rFonts w:hint="eastAsia" w:ascii="仿宋_GB2312"/>
          <w:szCs w:val="28"/>
        </w:rPr>
        <w:t>项目效益指标由</w:t>
      </w:r>
      <w:r>
        <w:rPr>
          <w:rFonts w:hint="eastAsia" w:ascii="仿宋_GB2312"/>
          <w:szCs w:val="28"/>
          <w:lang w:val="en-US" w:eastAsia="zh-CN"/>
        </w:rPr>
        <w:t>2</w:t>
      </w:r>
      <w:r>
        <w:rPr>
          <w:rFonts w:hint="eastAsia" w:ascii="仿宋_GB2312"/>
          <w:szCs w:val="28"/>
        </w:rPr>
        <w:t>个二级指标和</w:t>
      </w:r>
      <w:r>
        <w:rPr>
          <w:rFonts w:hint="eastAsia" w:ascii="仿宋_GB2312"/>
          <w:szCs w:val="28"/>
          <w:lang w:val="en-US" w:eastAsia="zh-CN"/>
        </w:rPr>
        <w:t>2</w:t>
      </w:r>
      <w:r>
        <w:rPr>
          <w:rFonts w:hint="eastAsia" w:ascii="仿宋_GB2312"/>
          <w:szCs w:val="28"/>
        </w:rPr>
        <w:t>个三级指标构成，权重为</w:t>
      </w:r>
      <w:r>
        <w:rPr>
          <w:rFonts w:hint="eastAsia" w:ascii="仿宋_GB2312"/>
          <w:szCs w:val="28"/>
          <w:lang w:val="en-US" w:eastAsia="zh-CN"/>
        </w:rPr>
        <w:t>11</w:t>
      </w:r>
      <w:r>
        <w:rPr>
          <w:rFonts w:hint="eastAsia" w:ascii="仿宋_GB2312"/>
          <w:szCs w:val="28"/>
        </w:rPr>
        <w:t>分，实际得分</w:t>
      </w:r>
      <w:r>
        <w:rPr>
          <w:rFonts w:hint="eastAsia" w:ascii="仿宋_GB2312"/>
          <w:szCs w:val="28"/>
          <w:lang w:val="en-US" w:eastAsia="zh-CN"/>
        </w:rPr>
        <w:t>9</w:t>
      </w:r>
      <w:r>
        <w:rPr>
          <w:rFonts w:hint="eastAsia" w:ascii="仿宋_GB2312"/>
          <w:szCs w:val="28"/>
        </w:rPr>
        <w:t>分。</w:t>
      </w:r>
      <w:r>
        <w:rPr>
          <w:rFonts w:ascii="仿宋_GB2312"/>
          <w:szCs w:val="28"/>
        </w:rPr>
        <w:t xml:space="preserve"> </w:t>
      </w:r>
    </w:p>
    <w:p>
      <w:pPr>
        <w:pStyle w:val="4"/>
        <w:numPr>
          <w:ilvl w:val="0"/>
          <w:numId w:val="1"/>
        </w:numPr>
        <w:ind w:firstLine="643"/>
        <w:rPr>
          <w:rFonts w:hint="eastAsia"/>
          <w:lang w:val="en-US" w:eastAsia="zh-CN"/>
        </w:rPr>
      </w:pPr>
      <w:r>
        <w:rPr>
          <w:rFonts w:hint="eastAsia"/>
          <w:lang w:val="en-US" w:eastAsia="zh-CN"/>
        </w:rPr>
        <w:t>项目效益</w:t>
      </w:r>
    </w:p>
    <w:p>
      <w:pPr>
        <w:pStyle w:val="4"/>
        <w:numPr>
          <w:ilvl w:val="0"/>
          <w:numId w:val="0"/>
        </w:numPr>
        <w:ind w:firstLine="643" w:firstLineChars="200"/>
        <w:rPr>
          <w:rFonts w:hint="default"/>
          <w:lang w:val="en-US" w:eastAsia="zh-CN"/>
        </w:rPr>
      </w:pPr>
      <w:r>
        <w:rPr>
          <w:rFonts w:hint="eastAsia"/>
          <w:lang w:val="en-US" w:eastAsia="zh-CN"/>
        </w:rPr>
        <w:t>经济效益指标：不适用</w:t>
      </w:r>
    </w:p>
    <w:p>
      <w:pPr>
        <w:pStyle w:val="4"/>
        <w:numPr>
          <w:ilvl w:val="0"/>
          <w:numId w:val="0"/>
        </w:numPr>
        <w:ind w:firstLine="643" w:firstLineChars="200"/>
        <w:rPr>
          <w:rFonts w:hint="eastAsia" w:ascii="仿宋_GB2312"/>
          <w:szCs w:val="28"/>
        </w:rPr>
      </w:pPr>
      <w:r>
        <w:rPr>
          <w:rFonts w:hint="eastAsia"/>
          <w:lang w:val="en-US" w:eastAsia="zh-CN"/>
        </w:rPr>
        <w:t>社会</w:t>
      </w:r>
      <w:r>
        <w:rPr>
          <w:rFonts w:hint="eastAsia"/>
          <w:highlight w:val="yellow"/>
        </w:rPr>
        <w:t>效</w:t>
      </w:r>
      <w:r>
        <w:rPr>
          <w:rFonts w:hint="eastAsia"/>
        </w:rPr>
        <w:t>益指标</w:t>
      </w:r>
      <w:r>
        <w:rPr>
          <w:rFonts w:hint="eastAsia"/>
          <w:lang w:eastAsia="zh-CN"/>
        </w:rPr>
        <w:t>：</w:t>
      </w:r>
      <w:r>
        <w:rPr>
          <w:rFonts w:hint="eastAsia"/>
          <w:lang w:val="en-US" w:eastAsia="zh-CN"/>
        </w:rPr>
        <w:t>评价指标“</w:t>
      </w:r>
      <w:r>
        <w:rPr>
          <w:rFonts w:hint="eastAsia" w:ascii="Calibri" w:hAnsi="Calibri" w:eastAsia="仿宋_GB2312" w:cs="黑体"/>
          <w:b/>
          <w:bCs/>
          <w:kern w:val="2"/>
          <w:sz w:val="32"/>
          <w:szCs w:val="32"/>
          <w:lang w:val="en-US" w:eastAsia="zh-CN" w:bidi="ar-SA"/>
        </w:rPr>
        <w:t>设备购置，更好的满足教育教学需要</w:t>
      </w:r>
      <w:r>
        <w:rPr>
          <w:rFonts w:hint="eastAsia" w:cs="黑体"/>
          <w:b/>
          <w:bCs/>
          <w:kern w:val="2"/>
          <w:sz w:val="32"/>
          <w:szCs w:val="32"/>
          <w:lang w:val="en-US" w:eastAsia="zh-CN" w:bidi="ar-SA"/>
        </w:rPr>
        <w:t>”，指</w:t>
      </w:r>
      <w:r>
        <w:rPr>
          <w:rFonts w:hint="eastAsia" w:cs="黑体"/>
          <w:b/>
          <w:bCs/>
          <w:kern w:val="2"/>
          <w:sz w:val="32"/>
          <w:szCs w:val="32"/>
          <w:highlight w:val="none"/>
          <w:lang w:val="en-US" w:eastAsia="zh-CN" w:bidi="ar-SA"/>
        </w:rPr>
        <w:t>标值为显著提高，业绩值为达成年度指标，本项目的实施</w:t>
      </w:r>
      <w:r>
        <w:rPr>
          <w:rFonts w:hint="eastAsia" w:cs="Calibri"/>
          <w:lang w:val="en-US" w:eastAsia="zh-CN"/>
        </w:rPr>
        <w:t>提高办学质量，消除学校安全隐患，改善教育教学环境，更好地为学生提供教育教学服务</w:t>
      </w:r>
      <w:r>
        <w:rPr>
          <w:rFonts w:hint="eastAsia" w:ascii="仿宋_GB2312"/>
          <w:szCs w:val="28"/>
        </w:rPr>
        <w:t>。</w:t>
      </w:r>
    </w:p>
    <w:p>
      <w:pPr>
        <w:pStyle w:val="4"/>
        <w:numPr>
          <w:ilvl w:val="0"/>
          <w:numId w:val="0"/>
        </w:numPr>
        <w:ind w:firstLine="643" w:firstLineChars="200"/>
      </w:pPr>
      <w:r>
        <w:rPr>
          <w:rFonts w:hint="eastAsia"/>
          <w:lang w:val="en-US" w:eastAsia="zh-CN"/>
        </w:rPr>
        <w:t>生态效益指标：不适用</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hint="eastAsia" w:ascii="仿宋_GB2312" w:hAnsi="仿宋" w:cs="宋体"/>
          <w:b/>
          <w:kern w:val="0"/>
          <w:szCs w:val="28"/>
          <w:lang w:val="en-US" w:eastAsia="zh-CN"/>
        </w:rPr>
        <w:t>6</w:t>
      </w:r>
      <w:r>
        <w:rPr>
          <w:rFonts w:hint="eastAsia" w:ascii="仿宋_GB2312" w:hAnsi="仿宋" w:cs="宋体"/>
          <w:b/>
          <w:kern w:val="0"/>
          <w:szCs w:val="28"/>
        </w:rPr>
        <w:t>分，得分</w:t>
      </w:r>
      <w:r>
        <w:rPr>
          <w:rFonts w:hint="eastAsia" w:ascii="仿宋_GB2312" w:hAnsi="仿宋" w:cs="宋体"/>
          <w:b/>
          <w:kern w:val="0"/>
          <w:szCs w:val="28"/>
          <w:lang w:val="en-US" w:eastAsia="zh-CN"/>
        </w:rPr>
        <w:t>4</w:t>
      </w:r>
      <w:r>
        <w:rPr>
          <w:rFonts w:hint="eastAsia" w:ascii="仿宋_GB2312" w:hAnsi="仿宋" w:cs="宋体"/>
          <w:b/>
          <w:kern w:val="0"/>
          <w:szCs w:val="28"/>
        </w:rPr>
        <w:t>分。</w:t>
      </w:r>
    </w:p>
    <w:p>
      <w:pPr>
        <w:pStyle w:val="4"/>
        <w:ind w:firstLine="643"/>
      </w:pPr>
      <w:bookmarkStart w:id="53" w:name="_Toc165277255"/>
      <w:r>
        <w:t>2. 满意度指标完成情况分析</w:t>
      </w:r>
      <w:bookmarkEnd w:id="53"/>
    </w:p>
    <w:p>
      <w:pPr>
        <w:spacing w:line="360" w:lineRule="auto"/>
        <w:ind w:firstLine="562"/>
        <w:rPr>
          <w:rFonts w:ascii="仿宋_GB2312"/>
          <w:b/>
          <w:bCs/>
          <w:szCs w:val="28"/>
        </w:rPr>
      </w:pPr>
      <w:r>
        <w:rPr>
          <w:rFonts w:hint="eastAsia" w:ascii="仿宋_GB2312"/>
          <w:b/>
          <w:bCs/>
          <w:szCs w:val="28"/>
        </w:rPr>
        <w:t>（</w:t>
      </w:r>
      <w:r>
        <w:rPr>
          <w:rFonts w:ascii="仿宋_GB2312"/>
          <w:b/>
          <w:bCs/>
          <w:szCs w:val="28"/>
        </w:rPr>
        <w:t>1</w:t>
      </w:r>
      <w:r>
        <w:rPr>
          <w:rFonts w:hint="eastAsia" w:ascii="仿宋_GB2312"/>
          <w:b/>
          <w:bCs/>
          <w:szCs w:val="28"/>
        </w:rPr>
        <w:t>）满意度指标</w:t>
      </w:r>
    </w:p>
    <w:p>
      <w:pPr>
        <w:spacing w:line="360" w:lineRule="auto"/>
        <w:ind w:firstLine="560"/>
        <w:rPr>
          <w:rFonts w:hint="eastAsia" w:ascii="仿宋_GB2312"/>
          <w:szCs w:val="28"/>
          <w:lang w:val="en-US" w:eastAsia="zh-CN"/>
        </w:rPr>
      </w:pPr>
      <w:r>
        <w:rPr>
          <w:rFonts w:hint="eastAsia" w:ascii="仿宋_GB2312"/>
          <w:b/>
          <w:bCs/>
          <w:szCs w:val="28"/>
          <w:lang w:val="en-US" w:eastAsia="zh-CN"/>
        </w:rPr>
        <w:t>教师、学生对项目的综合满意度：</w:t>
      </w:r>
      <w:r>
        <w:rPr>
          <w:rFonts w:hint="eastAsia" w:ascii="仿宋_GB2312"/>
          <w:szCs w:val="28"/>
          <w:lang w:val="en-US" w:eastAsia="zh-CN"/>
        </w:rPr>
        <w:t>通过问卷对我校初一初二两个年级的学生进行新机房满意度调查，</w:t>
      </w:r>
      <w:r>
        <w:rPr>
          <w:rFonts w:hint="default" w:ascii="仿宋_GB2312"/>
          <w:szCs w:val="28"/>
          <w:lang w:val="en-US" w:eastAsia="zh-CN"/>
        </w:rPr>
        <w:t>发出问卷</w:t>
      </w:r>
      <w:r>
        <w:rPr>
          <w:rFonts w:hint="eastAsia" w:ascii="仿宋_GB2312"/>
          <w:szCs w:val="28"/>
          <w:lang w:val="en-US" w:eastAsia="zh-CN"/>
        </w:rPr>
        <w:t>1100</w:t>
      </w:r>
      <w:r>
        <w:rPr>
          <w:rFonts w:hint="default" w:ascii="仿宋_GB2312"/>
          <w:szCs w:val="28"/>
          <w:lang w:val="en-US" w:eastAsia="zh-CN"/>
        </w:rPr>
        <w:t>份，收回</w:t>
      </w:r>
      <w:r>
        <w:rPr>
          <w:rFonts w:hint="eastAsia" w:ascii="仿宋_GB2312"/>
          <w:szCs w:val="28"/>
          <w:lang w:val="en-US" w:eastAsia="zh-CN"/>
        </w:rPr>
        <w:t>1100</w:t>
      </w:r>
      <w:r>
        <w:rPr>
          <w:rFonts w:hint="default" w:ascii="仿宋_GB2312"/>
          <w:szCs w:val="28"/>
          <w:lang w:val="en-US" w:eastAsia="zh-CN"/>
        </w:rPr>
        <w:t>份。结果显示，9</w:t>
      </w:r>
      <w:r>
        <w:rPr>
          <w:rFonts w:hint="eastAsia" w:ascii="仿宋_GB2312"/>
          <w:szCs w:val="28"/>
          <w:lang w:val="en-US" w:eastAsia="zh-CN"/>
        </w:rPr>
        <w:t>5</w:t>
      </w:r>
      <w:r>
        <w:rPr>
          <w:rFonts w:hint="default" w:ascii="仿宋_GB2312"/>
          <w:szCs w:val="28"/>
          <w:lang w:val="en-US" w:eastAsia="zh-CN"/>
        </w:rPr>
        <w:t>%的学生对</w:t>
      </w:r>
      <w:r>
        <w:rPr>
          <w:rFonts w:hint="eastAsia" w:ascii="仿宋_GB2312"/>
          <w:szCs w:val="28"/>
          <w:lang w:val="en-US" w:eastAsia="zh-CN"/>
        </w:rPr>
        <w:t>新机房</w:t>
      </w:r>
      <w:r>
        <w:rPr>
          <w:rFonts w:hint="default" w:ascii="仿宋_GB2312"/>
          <w:szCs w:val="28"/>
          <w:lang w:val="en-US" w:eastAsia="zh-CN"/>
        </w:rPr>
        <w:t>的</w:t>
      </w:r>
      <w:r>
        <w:rPr>
          <w:rFonts w:hint="eastAsia" w:ascii="仿宋_GB2312"/>
          <w:szCs w:val="28"/>
          <w:lang w:val="en-US" w:eastAsia="zh-CN"/>
        </w:rPr>
        <w:t>使用</w:t>
      </w:r>
      <w:r>
        <w:rPr>
          <w:rFonts w:hint="default" w:ascii="仿宋_GB2312"/>
          <w:szCs w:val="28"/>
          <w:lang w:val="en-US" w:eastAsia="zh-CN"/>
        </w:rPr>
        <w:t>非常满意，5%的学生对</w:t>
      </w:r>
      <w:r>
        <w:rPr>
          <w:rFonts w:hint="eastAsia" w:ascii="仿宋_GB2312"/>
          <w:szCs w:val="28"/>
          <w:lang w:val="en-US" w:eastAsia="zh-CN"/>
        </w:rPr>
        <w:t>新机房</w:t>
      </w:r>
      <w:r>
        <w:rPr>
          <w:rFonts w:hint="default" w:ascii="仿宋_GB2312"/>
          <w:szCs w:val="28"/>
          <w:lang w:val="en-US" w:eastAsia="zh-CN"/>
        </w:rPr>
        <w:t>比较满意</w:t>
      </w:r>
      <w:r>
        <w:rPr>
          <w:rFonts w:hint="eastAsia" w:ascii="仿宋_GB2312"/>
          <w:szCs w:val="28"/>
          <w:lang w:val="en-US" w:eastAsia="zh-CN"/>
        </w:rPr>
        <w:t>。通过问卷对我校初一初二两个年级的信息教师进行新机房满意度调查，</w:t>
      </w:r>
      <w:r>
        <w:rPr>
          <w:rFonts w:hint="default" w:ascii="仿宋_GB2312"/>
          <w:szCs w:val="28"/>
          <w:lang w:val="en-US" w:eastAsia="zh-CN"/>
        </w:rPr>
        <w:t>发出问卷</w:t>
      </w:r>
      <w:r>
        <w:rPr>
          <w:rFonts w:hint="eastAsia" w:ascii="仿宋_GB2312"/>
          <w:szCs w:val="28"/>
          <w:lang w:val="en-US" w:eastAsia="zh-CN"/>
        </w:rPr>
        <w:t>5</w:t>
      </w:r>
      <w:r>
        <w:rPr>
          <w:rFonts w:hint="default" w:ascii="仿宋_GB2312"/>
          <w:szCs w:val="28"/>
          <w:lang w:val="en-US" w:eastAsia="zh-CN"/>
        </w:rPr>
        <w:t>份，收回</w:t>
      </w:r>
      <w:r>
        <w:rPr>
          <w:rFonts w:hint="eastAsia" w:ascii="仿宋_GB2312"/>
          <w:szCs w:val="28"/>
          <w:lang w:val="en-US" w:eastAsia="zh-CN"/>
        </w:rPr>
        <w:t>5</w:t>
      </w:r>
      <w:r>
        <w:rPr>
          <w:rFonts w:hint="default" w:ascii="仿宋_GB2312"/>
          <w:szCs w:val="28"/>
          <w:lang w:val="en-US" w:eastAsia="zh-CN"/>
        </w:rPr>
        <w:t>份。结果显示，</w:t>
      </w:r>
      <w:r>
        <w:rPr>
          <w:rFonts w:hint="eastAsia" w:ascii="仿宋_GB2312"/>
          <w:szCs w:val="28"/>
          <w:lang w:val="en-US" w:eastAsia="zh-CN"/>
        </w:rPr>
        <w:t>100</w:t>
      </w:r>
      <w:r>
        <w:rPr>
          <w:rFonts w:hint="default" w:ascii="仿宋_GB2312"/>
          <w:szCs w:val="28"/>
          <w:lang w:val="en-US" w:eastAsia="zh-CN"/>
        </w:rPr>
        <w:t>%的</w:t>
      </w:r>
      <w:r>
        <w:rPr>
          <w:rFonts w:hint="eastAsia" w:ascii="仿宋_GB2312"/>
          <w:szCs w:val="28"/>
          <w:lang w:val="en-US" w:eastAsia="zh-CN"/>
        </w:rPr>
        <w:t>教师</w:t>
      </w:r>
      <w:r>
        <w:rPr>
          <w:rFonts w:hint="default" w:ascii="仿宋_GB2312"/>
          <w:szCs w:val="28"/>
          <w:lang w:val="en-US" w:eastAsia="zh-CN"/>
        </w:rPr>
        <w:t>对</w:t>
      </w:r>
      <w:r>
        <w:rPr>
          <w:rFonts w:hint="eastAsia" w:ascii="仿宋_GB2312"/>
          <w:szCs w:val="28"/>
          <w:lang w:val="en-US" w:eastAsia="zh-CN"/>
        </w:rPr>
        <w:t>新机房</w:t>
      </w:r>
      <w:r>
        <w:rPr>
          <w:rFonts w:hint="default" w:ascii="仿宋_GB2312"/>
          <w:szCs w:val="28"/>
          <w:lang w:val="en-US" w:eastAsia="zh-CN"/>
        </w:rPr>
        <w:t>的</w:t>
      </w:r>
      <w:r>
        <w:rPr>
          <w:rFonts w:hint="eastAsia" w:ascii="仿宋_GB2312"/>
          <w:szCs w:val="28"/>
          <w:lang w:val="en-US" w:eastAsia="zh-CN"/>
        </w:rPr>
        <w:t>使用</w:t>
      </w:r>
      <w:r>
        <w:rPr>
          <w:rFonts w:hint="default" w:ascii="仿宋_GB2312"/>
          <w:szCs w:val="28"/>
          <w:lang w:val="en-US" w:eastAsia="zh-CN"/>
        </w:rPr>
        <w:t>非常满意</w:t>
      </w:r>
      <w:r>
        <w:rPr>
          <w:rFonts w:hint="eastAsia" w:ascii="仿宋_GB2312"/>
          <w:szCs w:val="28"/>
          <w:lang w:val="en-US" w:eastAsia="zh-CN"/>
        </w:rPr>
        <w:t>。</w:t>
      </w:r>
    </w:p>
    <w:p>
      <w:pPr>
        <w:spacing w:line="360" w:lineRule="auto"/>
        <w:ind w:firstLine="560"/>
        <w:rPr>
          <w:rFonts w:hint="default" w:ascii="仿宋_GB2312"/>
          <w:szCs w:val="28"/>
          <w:lang w:val="en-US" w:eastAsia="zh-CN"/>
        </w:rPr>
      </w:pPr>
      <w:r>
        <w:rPr>
          <w:rFonts w:hint="eastAsia" w:ascii="仿宋_GB2312"/>
          <w:szCs w:val="28"/>
          <w:lang w:val="en-US" w:eastAsia="zh-CN"/>
        </w:rPr>
        <w:t>通过问卷对我校中层干部进行LED显示屏满意度调查。</w:t>
      </w:r>
      <w:r>
        <w:rPr>
          <w:rFonts w:hint="default" w:ascii="仿宋_GB2312"/>
          <w:szCs w:val="28"/>
          <w:lang w:val="en-US" w:eastAsia="zh-CN"/>
        </w:rPr>
        <w:t>发出问卷</w:t>
      </w:r>
      <w:r>
        <w:rPr>
          <w:rFonts w:hint="eastAsia" w:ascii="仿宋_GB2312"/>
          <w:szCs w:val="28"/>
          <w:lang w:val="en-US" w:eastAsia="zh-CN"/>
        </w:rPr>
        <w:t>10</w:t>
      </w:r>
      <w:r>
        <w:rPr>
          <w:rFonts w:hint="default" w:ascii="仿宋_GB2312"/>
          <w:szCs w:val="28"/>
          <w:lang w:val="en-US" w:eastAsia="zh-CN"/>
        </w:rPr>
        <w:t>份，收回</w:t>
      </w:r>
      <w:r>
        <w:rPr>
          <w:rFonts w:hint="eastAsia" w:ascii="仿宋_GB2312"/>
          <w:szCs w:val="28"/>
          <w:lang w:val="en-US" w:eastAsia="zh-CN"/>
        </w:rPr>
        <w:t>10</w:t>
      </w:r>
      <w:r>
        <w:rPr>
          <w:rFonts w:hint="default" w:ascii="仿宋_GB2312"/>
          <w:szCs w:val="28"/>
          <w:lang w:val="en-US" w:eastAsia="zh-CN"/>
        </w:rPr>
        <w:t>份。结果显示，</w:t>
      </w:r>
      <w:r>
        <w:rPr>
          <w:rFonts w:hint="eastAsia" w:ascii="仿宋_GB2312"/>
          <w:szCs w:val="28"/>
          <w:lang w:val="en-US" w:eastAsia="zh-CN"/>
        </w:rPr>
        <w:t>80</w:t>
      </w:r>
      <w:r>
        <w:rPr>
          <w:rFonts w:hint="default" w:ascii="仿宋_GB2312"/>
          <w:szCs w:val="28"/>
          <w:lang w:val="en-US" w:eastAsia="zh-CN"/>
        </w:rPr>
        <w:t>%的</w:t>
      </w:r>
      <w:r>
        <w:rPr>
          <w:rFonts w:hint="eastAsia" w:ascii="仿宋_GB2312"/>
          <w:szCs w:val="28"/>
          <w:lang w:val="en-US" w:eastAsia="zh-CN"/>
        </w:rPr>
        <w:t>干部对LED显示屏</w:t>
      </w:r>
      <w:r>
        <w:rPr>
          <w:rFonts w:hint="default" w:ascii="仿宋_GB2312"/>
          <w:szCs w:val="28"/>
          <w:lang w:val="en-US" w:eastAsia="zh-CN"/>
        </w:rPr>
        <w:t>的</w:t>
      </w:r>
      <w:r>
        <w:rPr>
          <w:rFonts w:hint="eastAsia" w:ascii="仿宋_GB2312"/>
          <w:szCs w:val="28"/>
          <w:lang w:val="en-US" w:eastAsia="zh-CN"/>
        </w:rPr>
        <w:t>使用</w:t>
      </w:r>
      <w:r>
        <w:rPr>
          <w:rFonts w:hint="default" w:ascii="仿宋_GB2312"/>
          <w:szCs w:val="28"/>
          <w:lang w:val="en-US" w:eastAsia="zh-CN"/>
        </w:rPr>
        <w:t>非常满意，</w:t>
      </w:r>
      <w:r>
        <w:rPr>
          <w:rFonts w:hint="eastAsia" w:ascii="仿宋_GB2312"/>
          <w:szCs w:val="28"/>
          <w:lang w:val="en-US" w:eastAsia="zh-CN"/>
        </w:rPr>
        <w:t>20%满意</w:t>
      </w:r>
      <w:r>
        <w:rPr>
          <w:rFonts w:hint="default" w:ascii="仿宋_GB2312"/>
          <w:szCs w:val="28"/>
          <w:lang w:val="en-US" w:eastAsia="zh-CN"/>
        </w:rPr>
        <w:t>。</w:t>
      </w:r>
    </w:p>
    <w:p>
      <w:pPr>
        <w:spacing w:line="360" w:lineRule="auto"/>
        <w:ind w:firstLine="560"/>
        <w:rPr>
          <w:rFonts w:hint="default" w:ascii="仿宋_GB2312"/>
          <w:szCs w:val="28"/>
          <w:lang w:val="en-US" w:eastAsia="zh-CN"/>
        </w:rPr>
      </w:pPr>
      <w:r>
        <w:rPr>
          <w:rFonts w:hint="eastAsia" w:ascii="仿宋_GB2312"/>
          <w:szCs w:val="28"/>
          <w:lang w:val="en-US" w:eastAsia="zh-CN"/>
        </w:rPr>
        <w:t>通过问卷对我校教师配发新电脑满意度调查。</w:t>
      </w:r>
      <w:r>
        <w:rPr>
          <w:rFonts w:hint="default" w:ascii="仿宋_GB2312"/>
          <w:szCs w:val="28"/>
          <w:lang w:val="en-US" w:eastAsia="zh-CN"/>
        </w:rPr>
        <w:t>发出问卷</w:t>
      </w:r>
      <w:r>
        <w:rPr>
          <w:rFonts w:hint="eastAsia" w:ascii="仿宋_GB2312"/>
          <w:szCs w:val="28"/>
          <w:lang w:val="en-US" w:eastAsia="zh-CN"/>
        </w:rPr>
        <w:t>75</w:t>
      </w:r>
      <w:r>
        <w:rPr>
          <w:rFonts w:hint="default" w:ascii="仿宋_GB2312"/>
          <w:szCs w:val="28"/>
          <w:lang w:val="en-US" w:eastAsia="zh-CN"/>
        </w:rPr>
        <w:t>份，收回</w:t>
      </w:r>
      <w:r>
        <w:rPr>
          <w:rFonts w:hint="eastAsia" w:ascii="仿宋_GB2312"/>
          <w:szCs w:val="28"/>
          <w:lang w:val="en-US" w:eastAsia="zh-CN"/>
        </w:rPr>
        <w:t>75</w:t>
      </w:r>
      <w:r>
        <w:rPr>
          <w:rFonts w:hint="default" w:ascii="仿宋_GB2312"/>
          <w:szCs w:val="28"/>
          <w:lang w:val="en-US" w:eastAsia="zh-CN"/>
        </w:rPr>
        <w:t>份。结果显示，</w:t>
      </w:r>
      <w:r>
        <w:rPr>
          <w:rFonts w:hint="eastAsia" w:ascii="仿宋_GB2312"/>
          <w:szCs w:val="28"/>
          <w:lang w:val="en-US" w:eastAsia="zh-CN"/>
        </w:rPr>
        <w:t>96</w:t>
      </w:r>
      <w:r>
        <w:rPr>
          <w:rFonts w:hint="default" w:ascii="仿宋_GB2312"/>
          <w:szCs w:val="28"/>
          <w:lang w:val="en-US" w:eastAsia="zh-CN"/>
        </w:rPr>
        <w:t>%的</w:t>
      </w:r>
      <w:r>
        <w:rPr>
          <w:rFonts w:hint="eastAsia" w:ascii="仿宋_GB2312"/>
          <w:szCs w:val="28"/>
          <w:lang w:val="en-US" w:eastAsia="zh-CN"/>
        </w:rPr>
        <w:t>干部对新电脑使用</w:t>
      </w:r>
      <w:r>
        <w:rPr>
          <w:rFonts w:hint="default" w:ascii="仿宋_GB2312"/>
          <w:szCs w:val="28"/>
          <w:lang w:val="en-US" w:eastAsia="zh-CN"/>
        </w:rPr>
        <w:t>非常满意，</w:t>
      </w:r>
      <w:r>
        <w:rPr>
          <w:rFonts w:hint="eastAsia" w:ascii="仿宋_GB2312"/>
          <w:szCs w:val="28"/>
          <w:lang w:val="en-US" w:eastAsia="zh-CN"/>
        </w:rPr>
        <w:t>4%满意</w:t>
      </w:r>
      <w:r>
        <w:rPr>
          <w:rFonts w:hint="default" w:ascii="仿宋_GB2312"/>
          <w:szCs w:val="28"/>
          <w:lang w:val="en-US" w:eastAsia="zh-CN"/>
        </w:rPr>
        <w:t>。</w:t>
      </w:r>
    </w:p>
    <w:p>
      <w:pPr>
        <w:spacing w:line="360" w:lineRule="auto"/>
        <w:ind w:firstLine="560"/>
        <w:rPr>
          <w:rFonts w:hint="eastAsia" w:ascii="仿宋_GB2312"/>
          <w:szCs w:val="28"/>
          <w:lang w:val="en-US" w:eastAsia="zh-CN"/>
        </w:rPr>
      </w:pPr>
      <w:r>
        <w:rPr>
          <w:rFonts w:hint="eastAsia" w:ascii="仿宋_GB2312"/>
          <w:szCs w:val="28"/>
          <w:lang w:val="en-US" w:eastAsia="zh-CN"/>
        </w:rPr>
        <w:t>新电脑设备的投入使用极大的改善了老师公的办公条件，提高了办公效率，同时新机房的使用也改善了学生们的上课效率和学习效果。</w:t>
      </w:r>
    </w:p>
    <w:p>
      <w:pPr>
        <w:spacing w:line="360" w:lineRule="auto"/>
        <w:ind w:firstLine="560"/>
        <w:rPr>
          <w:rFonts w:hint="default" w:ascii="仿宋_GB2312"/>
          <w:szCs w:val="28"/>
          <w:lang w:val="en-US" w:eastAsia="zh-CN"/>
        </w:rPr>
      </w:pPr>
      <w:r>
        <w:rPr>
          <w:rFonts w:hint="eastAsia" w:ascii="仿宋_GB2312"/>
          <w:szCs w:val="28"/>
          <w:lang w:val="en-US" w:eastAsia="zh-CN"/>
        </w:rPr>
        <w:t>河马泉校区设备采购因校区还未启用，主要调查对象为总务老师以及现场工程监理以及工程管理人员，共发出调查问卷20份，对项目执行过程普遍表示很满意。</w:t>
      </w:r>
    </w:p>
    <w:p>
      <w:pPr>
        <w:spacing w:line="360" w:lineRule="auto"/>
        <w:ind w:firstLine="560"/>
        <w:rPr>
          <w:rFonts w:ascii="仿宋_GB2312" w:hAnsi="仿宋" w:cs="宋体"/>
          <w:b/>
          <w:kern w:val="0"/>
          <w:szCs w:val="28"/>
        </w:rPr>
      </w:pPr>
      <w:r>
        <w:rPr>
          <w:rFonts w:hint="eastAsia" w:ascii="仿宋_GB2312" w:hAnsi="仿宋" w:cs="宋体"/>
          <w:b/>
          <w:kern w:val="0"/>
          <w:szCs w:val="28"/>
        </w:rPr>
        <w:t>综上，该指标满分</w:t>
      </w:r>
      <w:r>
        <w:rPr>
          <w:rFonts w:hint="eastAsia" w:ascii="仿宋_GB2312" w:hAnsi="仿宋" w:cs="宋体"/>
          <w:b/>
          <w:kern w:val="0"/>
          <w:szCs w:val="28"/>
          <w:lang w:val="en-US" w:eastAsia="zh-CN"/>
        </w:rPr>
        <w:t>5</w:t>
      </w:r>
      <w:r>
        <w:rPr>
          <w:rFonts w:hint="eastAsia" w:ascii="仿宋_GB2312" w:hAnsi="仿宋" w:cs="宋体"/>
          <w:b/>
          <w:kern w:val="0"/>
          <w:szCs w:val="28"/>
        </w:rPr>
        <w:t>分，得分</w:t>
      </w:r>
      <w:r>
        <w:rPr>
          <w:rFonts w:hint="eastAsia" w:ascii="仿宋_GB2312" w:hAnsi="仿宋" w:cs="宋体"/>
          <w:b/>
          <w:kern w:val="0"/>
          <w:szCs w:val="28"/>
          <w:lang w:val="en-US" w:eastAsia="zh-CN"/>
        </w:rPr>
        <w:t>5</w:t>
      </w:r>
      <w:r>
        <w:rPr>
          <w:rFonts w:hint="eastAsia" w:ascii="仿宋_GB2312" w:hAnsi="仿宋" w:cs="宋体"/>
          <w:b/>
          <w:kern w:val="0"/>
          <w:szCs w:val="28"/>
        </w:rPr>
        <w:t>分。</w:t>
      </w:r>
    </w:p>
    <w:p>
      <w:pPr>
        <w:pStyle w:val="2"/>
        <w:ind w:firstLine="0" w:firstLineChars="0"/>
        <w:jc w:val="left"/>
        <w:rPr>
          <w:rFonts w:ascii="仿宋" w:hAnsi="仿宋" w:eastAsia="仿宋"/>
          <w:sz w:val="36"/>
          <w:szCs w:val="36"/>
          <w:lang w:bidi="en-US"/>
        </w:rPr>
      </w:pPr>
      <w:bookmarkStart w:id="54" w:name="_Toc67911617"/>
      <w:bookmarkStart w:id="55" w:name="_Toc165277256"/>
      <w:r>
        <w:rPr>
          <w:rFonts w:hint="eastAsia" w:ascii="仿宋" w:hAnsi="仿宋" w:eastAsia="仿宋"/>
          <w:sz w:val="36"/>
          <w:szCs w:val="36"/>
          <w:lang w:bidi="en-US"/>
        </w:rPr>
        <w:t>五、主要经验及做法、存在的问题及原因分析</w:t>
      </w:r>
      <w:bookmarkEnd w:id="54"/>
      <w:bookmarkEnd w:id="55"/>
    </w:p>
    <w:p>
      <w:pPr>
        <w:pStyle w:val="3"/>
        <w:ind w:firstLine="643"/>
        <w:rPr>
          <w:rFonts w:ascii="仿宋" w:hAnsi="仿宋" w:eastAsia="仿宋"/>
          <w:lang w:bidi="en-US"/>
        </w:rPr>
      </w:pPr>
      <w:bookmarkStart w:id="56" w:name="_Toc67911618"/>
      <w:bookmarkStart w:id="57" w:name="_Toc165277257"/>
      <w:r>
        <w:rPr>
          <w:rFonts w:hint="eastAsia" w:ascii="仿宋" w:hAnsi="仿宋" w:eastAsia="仿宋"/>
          <w:lang w:bidi="en-US"/>
        </w:rPr>
        <w:t>（一）主要经验及做法</w:t>
      </w:r>
      <w:bookmarkEnd w:id="56"/>
      <w:bookmarkEnd w:id="57"/>
    </w:p>
    <w:p>
      <w:pPr>
        <w:autoSpaceDE w:val="0"/>
        <w:spacing w:line="600" w:lineRule="exact"/>
        <w:ind w:firstLine="562"/>
        <w:rPr>
          <w:rFonts w:hint="eastAsia" w:ascii="仿宋_GB2312" w:hAnsi="仿宋" w:eastAsia="仿宋_GB2312" w:cs="宋体"/>
          <w:b/>
          <w:kern w:val="0"/>
          <w:szCs w:val="28"/>
          <w:lang w:val="en-US" w:eastAsia="zh-CN"/>
        </w:rPr>
      </w:pPr>
      <w:r>
        <w:rPr>
          <w:rFonts w:hint="eastAsia" w:ascii="仿宋_GB2312" w:hAnsi="仿宋" w:cs="宋体"/>
          <w:b/>
          <w:kern w:val="0"/>
          <w:szCs w:val="28"/>
        </w:rPr>
        <w:t>1.</w:t>
      </w:r>
      <w:r>
        <w:rPr>
          <w:rFonts w:hint="eastAsia" w:ascii="仿宋_GB2312" w:hAnsi="仿宋" w:cs="宋体"/>
          <w:b/>
          <w:kern w:val="0"/>
          <w:szCs w:val="28"/>
          <w:lang w:val="en-US" w:eastAsia="zh-CN"/>
        </w:rPr>
        <w:t>项目开始</w:t>
      </w:r>
    </w:p>
    <w:p>
      <w:pPr>
        <w:pStyle w:val="3"/>
        <w:ind w:firstLine="643"/>
        <w:rPr>
          <w:rFonts w:ascii="仿宋_GB2312" w:hAnsi="仿宋" w:eastAsia="仿宋_GB2312" w:cs="宋体"/>
          <w:b w:val="0"/>
          <w:bCs w:val="0"/>
          <w:kern w:val="0"/>
          <w:sz w:val="28"/>
          <w:szCs w:val="28"/>
          <w:lang w:val="en-US" w:eastAsia="zh-CN" w:bidi="ar-SA"/>
        </w:rPr>
      </w:pPr>
      <w:bookmarkStart w:id="58" w:name="_Toc165277258"/>
      <w:r>
        <w:rPr>
          <w:rFonts w:ascii="仿宋_GB2312" w:hAnsi="仿宋" w:eastAsia="仿宋_GB2312" w:cs="宋体"/>
          <w:b w:val="0"/>
          <w:bCs w:val="0"/>
          <w:kern w:val="0"/>
          <w:sz w:val="28"/>
          <w:szCs w:val="28"/>
          <w:lang w:val="en-US" w:eastAsia="zh-CN" w:bidi="ar-SA"/>
        </w:rPr>
        <w:t>在项目开始之前,必须制定一个清晰而明确的项目目标和计划,以确保团队成员都了解围绕什么工作以及如何完成它们。 目标必须是明确、可衡量的,并为每个小组成员提供一个明确定义的任务。计划应包括项目的所有步骤、所需资源以及实现这些步骤所需的时间。这样,每个团队成员都能清晰地知道自己的职责和时间表。</w:t>
      </w:r>
    </w:p>
    <w:p>
      <w:pPr>
        <w:numPr>
          <w:ilvl w:val="0"/>
          <w:numId w:val="2"/>
        </w:numPr>
        <w:rPr>
          <w:rFonts w:hint="eastAsia" w:ascii="仿宋_GB2312" w:hAnsi="仿宋" w:cs="宋体"/>
          <w:b/>
          <w:kern w:val="0"/>
          <w:szCs w:val="28"/>
          <w:lang w:val="en-US" w:eastAsia="zh-CN"/>
        </w:rPr>
      </w:pPr>
      <w:r>
        <w:rPr>
          <w:rFonts w:hint="eastAsia" w:ascii="仿宋_GB2312" w:hAnsi="仿宋" w:cs="宋体"/>
          <w:b/>
          <w:kern w:val="0"/>
          <w:szCs w:val="28"/>
          <w:lang w:val="en-US" w:eastAsia="zh-CN"/>
        </w:rPr>
        <w:t>项目执行</w:t>
      </w:r>
    </w:p>
    <w:p>
      <w:pPr>
        <w:spacing w:line="360" w:lineRule="auto"/>
        <w:ind w:firstLine="560"/>
        <w:rPr>
          <w:rFonts w:hint="default" w:ascii="仿宋_GB2312" w:hAnsi="仿宋" w:cs="宋体"/>
          <w:kern w:val="0"/>
          <w:szCs w:val="28"/>
          <w:lang w:val="en-US" w:eastAsia="zh-CN"/>
        </w:rPr>
      </w:pPr>
      <w:r>
        <w:rPr>
          <w:rFonts w:hint="eastAsia" w:ascii="仿宋_GB2312" w:hAnsi="仿宋" w:cs="宋体"/>
          <w:kern w:val="0"/>
          <w:szCs w:val="28"/>
          <w:lang w:val="en-US" w:eastAsia="zh-CN"/>
        </w:rPr>
        <w:t>项目执行过程中定期督察实施进度，对期间发现的不合理内容及时做出纠正，对存在的问题及时上报学校并解决，提高和施工单位对接频率，保证施工进度也保证施工质量。</w:t>
      </w:r>
    </w:p>
    <w:p>
      <w:pPr>
        <w:numPr>
          <w:ilvl w:val="0"/>
          <w:numId w:val="2"/>
        </w:numPr>
        <w:rPr>
          <w:rFonts w:hint="default" w:ascii="仿宋_GB2312" w:hAnsi="仿宋" w:cs="宋体"/>
          <w:b/>
          <w:kern w:val="0"/>
          <w:szCs w:val="28"/>
          <w:lang w:val="en-US" w:eastAsia="zh-CN"/>
        </w:rPr>
      </w:pPr>
      <w:r>
        <w:rPr>
          <w:rFonts w:hint="eastAsia" w:ascii="仿宋_GB2312" w:hAnsi="仿宋" w:cs="宋体"/>
          <w:b/>
          <w:kern w:val="0"/>
          <w:szCs w:val="28"/>
          <w:lang w:val="en-US" w:eastAsia="zh-CN"/>
        </w:rPr>
        <w:t>项目验收</w:t>
      </w:r>
    </w:p>
    <w:p>
      <w:pPr>
        <w:spacing w:line="360" w:lineRule="auto"/>
        <w:ind w:firstLine="560"/>
        <w:rPr>
          <w:rFonts w:hint="default" w:ascii="仿宋_GB2312" w:hAnsi="仿宋" w:cs="宋体"/>
          <w:kern w:val="0"/>
          <w:szCs w:val="28"/>
          <w:lang w:val="en-US" w:eastAsia="zh-CN"/>
        </w:rPr>
      </w:pPr>
      <w:r>
        <w:rPr>
          <w:rFonts w:hint="eastAsia" w:ascii="仿宋_GB2312" w:hAnsi="仿宋" w:cs="宋体"/>
          <w:kern w:val="0"/>
          <w:szCs w:val="28"/>
          <w:lang w:val="en-US" w:eastAsia="zh-CN"/>
        </w:rPr>
        <w:t>和校内使用部门人员、资产人员以及监管部门人员，一起对项目进行清点验收，提出问题汇总待施工单位完成整改后，进行接收，相关资料归档。</w:t>
      </w:r>
    </w:p>
    <w:bookmarkEnd w:id="58"/>
    <w:p>
      <w:pPr>
        <w:pStyle w:val="3"/>
        <w:ind w:firstLine="643"/>
        <w:rPr>
          <w:rFonts w:ascii="仿宋" w:hAnsi="仿宋" w:eastAsia="仿宋"/>
          <w:lang w:bidi="en-US"/>
        </w:rPr>
      </w:pPr>
      <w:bookmarkStart w:id="59" w:name="_Toc67911620"/>
      <w:bookmarkStart w:id="60" w:name="_Toc165277259"/>
      <w:bookmarkStart w:id="61" w:name="_Toc67911619"/>
      <w:r>
        <w:rPr>
          <w:rFonts w:hint="eastAsia" w:ascii="仿宋" w:hAnsi="仿宋" w:eastAsia="仿宋"/>
          <w:lang w:bidi="en-US"/>
        </w:rPr>
        <w:t>（二）存在的问题及原因分析</w:t>
      </w:r>
    </w:p>
    <w:p>
      <w:pPr>
        <w:spacing w:line="360" w:lineRule="auto"/>
        <w:ind w:firstLine="560"/>
        <w:rPr>
          <w:rFonts w:hint="default" w:ascii="仿宋_GB2312" w:hAnsi="仿宋" w:cs="宋体"/>
          <w:kern w:val="0"/>
          <w:szCs w:val="28"/>
          <w:lang w:val="en-US" w:eastAsia="zh-CN"/>
        </w:rPr>
      </w:pPr>
      <w:r>
        <w:rPr>
          <w:rFonts w:hint="eastAsia" w:ascii="仿宋_GB2312" w:hAnsi="仿宋" w:cs="宋体"/>
          <w:kern w:val="0"/>
          <w:szCs w:val="28"/>
          <w:lang w:val="en-US" w:eastAsia="zh-CN"/>
        </w:rPr>
        <w:t>项目存在问题主要是招标前期工作周期较长，整体缺乏经验，导致招标时间靠后，项目在年底无法完成，尤其进入冬季后河马泉项目大多只能延后，后续项目将吸取教训，将流程适当提前，尽快完成清单出具以及评审的报送。</w:t>
      </w:r>
    </w:p>
    <w:p>
      <w:pPr>
        <w:pStyle w:val="2"/>
        <w:numPr>
          <w:ilvl w:val="0"/>
          <w:numId w:val="3"/>
        </w:numPr>
        <w:ind w:firstLine="0" w:firstLineChars="0"/>
        <w:jc w:val="left"/>
        <w:rPr>
          <w:rFonts w:ascii="仿宋" w:hAnsi="仿宋" w:eastAsia="仿宋"/>
          <w:sz w:val="36"/>
          <w:szCs w:val="36"/>
          <w:lang w:bidi="en-US"/>
        </w:rPr>
      </w:pPr>
      <w:r>
        <w:rPr>
          <w:rFonts w:hint="eastAsia" w:ascii="仿宋" w:hAnsi="仿宋" w:eastAsia="仿宋"/>
          <w:sz w:val="36"/>
          <w:szCs w:val="36"/>
          <w:lang w:bidi="en-US"/>
        </w:rPr>
        <w:t>有关建议</w:t>
      </w:r>
      <w:bookmarkEnd w:id="59"/>
      <w:bookmarkEnd w:id="60"/>
    </w:p>
    <w:p>
      <w:pPr>
        <w:snapToGrid w:val="0"/>
        <w:spacing w:line="540" w:lineRule="exact"/>
        <w:ind w:firstLine="596" w:firstLineChars="213"/>
        <w:rPr>
          <w:rFonts w:hint="eastAsia" w:ascii="仿宋" w:hAnsi="仿宋" w:eastAsia="仿宋"/>
          <w:sz w:val="36"/>
          <w:szCs w:val="36"/>
          <w:lang w:bidi="en-US"/>
        </w:rPr>
      </w:pPr>
      <w:bookmarkStart w:id="62" w:name="_Toc165277260"/>
      <w:r>
        <w:rPr>
          <w:rFonts w:hint="eastAsia" w:ascii="仿宋_GB2312"/>
          <w:szCs w:val="28"/>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pPr>
        <w:pStyle w:val="2"/>
        <w:ind w:firstLine="0" w:firstLineChars="0"/>
        <w:jc w:val="left"/>
        <w:rPr>
          <w:rFonts w:ascii="仿宋" w:hAnsi="仿宋" w:eastAsia="仿宋"/>
          <w:sz w:val="36"/>
          <w:szCs w:val="36"/>
          <w:lang w:bidi="en-US"/>
        </w:rPr>
      </w:pPr>
      <w:r>
        <w:rPr>
          <w:rFonts w:hint="eastAsia" w:ascii="仿宋" w:hAnsi="仿宋" w:eastAsia="仿宋"/>
          <w:sz w:val="36"/>
          <w:szCs w:val="36"/>
          <w:lang w:bidi="en-US"/>
        </w:rPr>
        <w:t>七、其他需要说明的问题</w:t>
      </w:r>
      <w:bookmarkEnd w:id="61"/>
      <w:bookmarkEnd w:id="62"/>
    </w:p>
    <w:p>
      <w:pPr>
        <w:spacing w:line="360" w:lineRule="auto"/>
        <w:ind w:firstLine="560"/>
        <w:rPr>
          <w:rFonts w:hint="eastAsia" w:ascii="仿宋_GB2312" w:eastAsia="仿宋_GB2312"/>
          <w:szCs w:val="28"/>
          <w:lang w:eastAsia="zh-CN"/>
        </w:rPr>
      </w:pPr>
      <w:r>
        <w:rPr>
          <w:rFonts w:hint="eastAsia" w:ascii="仿宋_GB2312"/>
          <w:szCs w:val="28"/>
          <w:lang w:val="en-US" w:eastAsia="zh-CN"/>
        </w:rPr>
        <w:t>无</w:t>
      </w:r>
    </w:p>
    <w:sectPr>
      <w:headerReference r:id="rId13" w:type="default"/>
      <w:footerReference r:id="rId14"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Gungsuh">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6182009"/>
      <w:docPartObj>
        <w:docPartGallery w:val="autotext"/>
      </w:docPartObj>
    </w:sdtPr>
    <w:sdtEndPr>
      <w:rPr>
        <w:rFonts w:hint="eastAsia" w:ascii="仿宋_GB2312" w:eastAsia="仿宋_GB2312"/>
        <w:sz w:val="21"/>
        <w:szCs w:val="21"/>
      </w:rPr>
    </w:sdtEndPr>
    <w:sdtContent>
      <w:p>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1</w:t>
        </w:r>
        <w:r>
          <w:rPr>
            <w:rFonts w:hint="eastAsia" w:ascii="仿宋_GB2312" w:eastAsia="仿宋_GB2312"/>
            <w:sz w:val="21"/>
            <w:szCs w:val="21"/>
          </w:rPr>
          <w:fldChar w:fldCharType="end"/>
        </w:r>
      </w:p>
    </w:sdtContent>
  </w:sdt>
  <w:p>
    <w:pPr>
      <w:pStyle w:val="9"/>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836155"/>
      <w:docPartObj>
        <w:docPartGallery w:val="autotext"/>
      </w:docPartObj>
    </w:sdtPr>
    <w:sdtEndPr>
      <w:rPr>
        <w:rFonts w:hint="eastAsia" w:ascii="仿宋_GB2312" w:eastAsia="仿宋_GB2312"/>
        <w:sz w:val="21"/>
        <w:szCs w:val="21"/>
      </w:rPr>
    </w:sdtEndPr>
    <w:sdtContent>
      <w:p>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16</w:t>
        </w:r>
        <w:r>
          <w:rPr>
            <w:rFonts w:hint="eastAsia" w:ascii="仿宋_GB2312" w:eastAsia="仿宋_GB2312"/>
            <w:sz w:val="21"/>
            <w:szCs w:val="21"/>
          </w:rPr>
          <w:fldChar w:fldCharType="end"/>
        </w:r>
      </w:p>
    </w:sdtContent>
  </w:sdt>
  <w:p>
    <w:pPr>
      <w:pStyle w:val="9"/>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ind w:firstLine="560"/>
      </w:pPr>
      <w:r>
        <w:separator/>
      </w:r>
    </w:p>
  </w:footnote>
  <w:footnote w:type="continuationSeparator" w:id="5">
    <w:p>
      <w:pPr>
        <w:ind w:firstLine="560"/>
      </w:pPr>
      <w:r>
        <w:continuationSeparator/>
      </w:r>
    </w:p>
  </w:footnote>
  <w:footnote w:id="0">
    <w:p>
      <w:pPr>
        <w:pStyle w:val="12"/>
        <w:ind w:firstLine="0" w:firstLineChars="0"/>
        <w:jc w:val="both"/>
        <w:rPr>
          <w:rFonts w:ascii="仿宋_GB2312"/>
        </w:rPr>
      </w:pPr>
      <w:r>
        <w:rPr>
          <w:rStyle w:val="20"/>
          <w:rFonts w:hint="eastAsia" w:ascii="仿宋_GB2312"/>
        </w:rPr>
        <w:footnoteRef/>
      </w:r>
      <w:r>
        <w:rPr>
          <w:rFonts w:hint="eastAsia" w:ascii="仿宋_GB2312"/>
        </w:rPr>
        <w:t xml:space="preserve"> 前期准备主要包括实地调研和认真研读相关文件，根据绩效评价的基本原理、原则和项目特点，结合项目绩效目标，项目绩效评组制定了评价指标体系、评分标准、评价方法和相关的工作程序及步骤，形成评价初步方案。</w:t>
      </w:r>
    </w:p>
  </w:footnote>
  <w:footnote w:id="1">
    <w:p>
      <w:pPr>
        <w:pStyle w:val="12"/>
        <w:ind w:firstLine="0" w:firstLineChars="0"/>
        <w:jc w:val="both"/>
        <w:rPr>
          <w:rFonts w:ascii="仿宋_GB2312"/>
        </w:rPr>
      </w:pPr>
      <w:r>
        <w:rPr>
          <w:rFonts w:hint="eastAsia" w:ascii="仿宋_GB2312"/>
        </w:rPr>
        <w:t>本次绩效评价结果实施百分制和四级分类，其中90（含）-100分为优、80（含）-90分为良、</w:t>
      </w:r>
      <w:r>
        <w:rPr>
          <w:rFonts w:ascii="仿宋_GB2312"/>
        </w:rPr>
        <w:t>7</w:t>
      </w:r>
      <w:r>
        <w:rPr>
          <w:rFonts w:hint="eastAsia" w:ascii="仿宋_GB2312"/>
        </w:rPr>
        <w:t>0（含）-80分为中、</w:t>
      </w:r>
      <w:r>
        <w:rPr>
          <w:rFonts w:ascii="仿宋_GB2312"/>
        </w:rPr>
        <w:t>7</w:t>
      </w:r>
      <w:r>
        <w:rPr>
          <w:rFonts w:hint="eastAsia" w:ascii="仿宋_GB2312"/>
        </w:rPr>
        <w:t>0分以下为差。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jc w:val="right"/>
      <w:rPr>
        <w:rFonts w:ascii="仿宋_GB2312" w:eastAsia="仿宋_GB2312"/>
        <w:sz w:val="21"/>
        <w:szCs w:val="21"/>
      </w:rPr>
    </w:pPr>
    <w:r>
      <w:rPr>
        <w:rFonts w:hint="eastAsia" w:ascii="仿宋_GB2312" w:eastAsia="仿宋_GB2312"/>
        <w:sz w:val="21"/>
        <w:szCs w:val="21"/>
      </w:rPr>
      <w:t>部门项目报告模板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6171F9"/>
    <w:multiLevelType w:val="singleLevel"/>
    <w:tmpl w:val="A36171F9"/>
    <w:lvl w:ilvl="0" w:tentative="0">
      <w:start w:val="6"/>
      <w:numFmt w:val="chineseCounting"/>
      <w:suff w:val="nothing"/>
      <w:lvlText w:val="%1、"/>
      <w:lvlJc w:val="left"/>
      <w:rPr>
        <w:rFonts w:hint="eastAsia"/>
      </w:rPr>
    </w:lvl>
  </w:abstractNum>
  <w:abstractNum w:abstractNumId="1">
    <w:nsid w:val="1B23301A"/>
    <w:multiLevelType w:val="singleLevel"/>
    <w:tmpl w:val="1B23301A"/>
    <w:lvl w:ilvl="0" w:tentative="0">
      <w:start w:val="2"/>
      <w:numFmt w:val="decimal"/>
      <w:lvlText w:val="%1."/>
      <w:lvlJc w:val="left"/>
      <w:pPr>
        <w:tabs>
          <w:tab w:val="left" w:pos="312"/>
        </w:tabs>
      </w:pPr>
    </w:lvl>
  </w:abstractNum>
  <w:abstractNum w:abstractNumId="2">
    <w:nsid w:val="5835358B"/>
    <w:multiLevelType w:val="singleLevel"/>
    <w:tmpl w:val="5835358B"/>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footnotePr>
    <w:footnote w:id="4"/>
    <w:footnote w:id="5"/>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jMTk2M2ZkYzFjZDdkZWQ2N2Q2M2JmOGJmODU5ZWQifQ=="/>
  </w:docVars>
  <w:rsids>
    <w:rsidRoot w:val="00A43A0A"/>
    <w:rsid w:val="00031A7F"/>
    <w:rsid w:val="00042151"/>
    <w:rsid w:val="000438A0"/>
    <w:rsid w:val="0007002C"/>
    <w:rsid w:val="00071C0F"/>
    <w:rsid w:val="00086724"/>
    <w:rsid w:val="000A2B58"/>
    <w:rsid w:val="000A43E8"/>
    <w:rsid w:val="000B520E"/>
    <w:rsid w:val="000B6FA0"/>
    <w:rsid w:val="000C22A1"/>
    <w:rsid w:val="000C720A"/>
    <w:rsid w:val="000C77D3"/>
    <w:rsid w:val="000E1EB5"/>
    <w:rsid w:val="000F5DE3"/>
    <w:rsid w:val="00111969"/>
    <w:rsid w:val="00147D9F"/>
    <w:rsid w:val="001544E6"/>
    <w:rsid w:val="001645EB"/>
    <w:rsid w:val="00187B13"/>
    <w:rsid w:val="001A3189"/>
    <w:rsid w:val="001A79B9"/>
    <w:rsid w:val="001C50BA"/>
    <w:rsid w:val="001D66B5"/>
    <w:rsid w:val="001E754D"/>
    <w:rsid w:val="001E7E9F"/>
    <w:rsid w:val="00201C55"/>
    <w:rsid w:val="00212817"/>
    <w:rsid w:val="00213964"/>
    <w:rsid w:val="00220DC6"/>
    <w:rsid w:val="0022245F"/>
    <w:rsid w:val="0022294C"/>
    <w:rsid w:val="00225A82"/>
    <w:rsid w:val="00247354"/>
    <w:rsid w:val="00250131"/>
    <w:rsid w:val="00261F2F"/>
    <w:rsid w:val="00262533"/>
    <w:rsid w:val="00262B75"/>
    <w:rsid w:val="002767C9"/>
    <w:rsid w:val="002810AA"/>
    <w:rsid w:val="002A6E59"/>
    <w:rsid w:val="002B7C09"/>
    <w:rsid w:val="002E1E67"/>
    <w:rsid w:val="002E608B"/>
    <w:rsid w:val="00302E15"/>
    <w:rsid w:val="0032183D"/>
    <w:rsid w:val="0032329D"/>
    <w:rsid w:val="00332C71"/>
    <w:rsid w:val="00333EA5"/>
    <w:rsid w:val="00340CED"/>
    <w:rsid w:val="00343485"/>
    <w:rsid w:val="00350839"/>
    <w:rsid w:val="003766AB"/>
    <w:rsid w:val="00377BA7"/>
    <w:rsid w:val="003C24DB"/>
    <w:rsid w:val="003C4BD9"/>
    <w:rsid w:val="003D611E"/>
    <w:rsid w:val="003D74DE"/>
    <w:rsid w:val="00404C10"/>
    <w:rsid w:val="004249EE"/>
    <w:rsid w:val="00425C1F"/>
    <w:rsid w:val="00437C39"/>
    <w:rsid w:val="00453D4B"/>
    <w:rsid w:val="004925F6"/>
    <w:rsid w:val="004957B3"/>
    <w:rsid w:val="004B12BE"/>
    <w:rsid w:val="004B5A40"/>
    <w:rsid w:val="004D4759"/>
    <w:rsid w:val="004E0DF3"/>
    <w:rsid w:val="004F17C9"/>
    <w:rsid w:val="004F66E9"/>
    <w:rsid w:val="00502EC2"/>
    <w:rsid w:val="005345BF"/>
    <w:rsid w:val="00534DD6"/>
    <w:rsid w:val="005417D4"/>
    <w:rsid w:val="0054442E"/>
    <w:rsid w:val="00553F30"/>
    <w:rsid w:val="00563798"/>
    <w:rsid w:val="00566083"/>
    <w:rsid w:val="0056794C"/>
    <w:rsid w:val="005764CD"/>
    <w:rsid w:val="005779FD"/>
    <w:rsid w:val="0058379D"/>
    <w:rsid w:val="00592653"/>
    <w:rsid w:val="00593474"/>
    <w:rsid w:val="005A12D0"/>
    <w:rsid w:val="005A2254"/>
    <w:rsid w:val="005A5ABF"/>
    <w:rsid w:val="005A5E3B"/>
    <w:rsid w:val="005A76A5"/>
    <w:rsid w:val="005B7A28"/>
    <w:rsid w:val="005D02D3"/>
    <w:rsid w:val="005D2F48"/>
    <w:rsid w:val="005D4D5B"/>
    <w:rsid w:val="005E2098"/>
    <w:rsid w:val="005F226E"/>
    <w:rsid w:val="005F273F"/>
    <w:rsid w:val="005F3A17"/>
    <w:rsid w:val="00604BA5"/>
    <w:rsid w:val="00607D5B"/>
    <w:rsid w:val="00611B95"/>
    <w:rsid w:val="00614CEC"/>
    <w:rsid w:val="00627F97"/>
    <w:rsid w:val="0065079B"/>
    <w:rsid w:val="00656DB7"/>
    <w:rsid w:val="00662C67"/>
    <w:rsid w:val="006B60FE"/>
    <w:rsid w:val="006C40AE"/>
    <w:rsid w:val="006E6431"/>
    <w:rsid w:val="006F3315"/>
    <w:rsid w:val="007027A1"/>
    <w:rsid w:val="00705854"/>
    <w:rsid w:val="00722A72"/>
    <w:rsid w:val="0073210F"/>
    <w:rsid w:val="00733402"/>
    <w:rsid w:val="0073417E"/>
    <w:rsid w:val="00743F96"/>
    <w:rsid w:val="0076734C"/>
    <w:rsid w:val="0078063A"/>
    <w:rsid w:val="00783118"/>
    <w:rsid w:val="00794639"/>
    <w:rsid w:val="007A772C"/>
    <w:rsid w:val="007C3F63"/>
    <w:rsid w:val="007F185A"/>
    <w:rsid w:val="007F6051"/>
    <w:rsid w:val="007F6745"/>
    <w:rsid w:val="007F77F3"/>
    <w:rsid w:val="008123C5"/>
    <w:rsid w:val="00831695"/>
    <w:rsid w:val="008327EB"/>
    <w:rsid w:val="00835535"/>
    <w:rsid w:val="00845BE2"/>
    <w:rsid w:val="00863F65"/>
    <w:rsid w:val="00866FB0"/>
    <w:rsid w:val="00884C5F"/>
    <w:rsid w:val="00894E2C"/>
    <w:rsid w:val="008A3394"/>
    <w:rsid w:val="008A476A"/>
    <w:rsid w:val="008C4803"/>
    <w:rsid w:val="008D3FFC"/>
    <w:rsid w:val="008D6D96"/>
    <w:rsid w:val="009068E0"/>
    <w:rsid w:val="00907B15"/>
    <w:rsid w:val="00917C57"/>
    <w:rsid w:val="009214DF"/>
    <w:rsid w:val="00923604"/>
    <w:rsid w:val="009258BD"/>
    <w:rsid w:val="00933961"/>
    <w:rsid w:val="009546FE"/>
    <w:rsid w:val="0095473C"/>
    <w:rsid w:val="00954936"/>
    <w:rsid w:val="00963948"/>
    <w:rsid w:val="00981879"/>
    <w:rsid w:val="0098656D"/>
    <w:rsid w:val="00995079"/>
    <w:rsid w:val="00996B5B"/>
    <w:rsid w:val="009A33B6"/>
    <w:rsid w:val="009D4C5C"/>
    <w:rsid w:val="009F1224"/>
    <w:rsid w:val="009F55B0"/>
    <w:rsid w:val="00A00443"/>
    <w:rsid w:val="00A106CE"/>
    <w:rsid w:val="00A2064E"/>
    <w:rsid w:val="00A22963"/>
    <w:rsid w:val="00A425B1"/>
    <w:rsid w:val="00A43A0A"/>
    <w:rsid w:val="00A52E6C"/>
    <w:rsid w:val="00A52E72"/>
    <w:rsid w:val="00A675F9"/>
    <w:rsid w:val="00A92F9F"/>
    <w:rsid w:val="00AB7184"/>
    <w:rsid w:val="00AD5430"/>
    <w:rsid w:val="00AE1DCD"/>
    <w:rsid w:val="00AE6C31"/>
    <w:rsid w:val="00B22F6F"/>
    <w:rsid w:val="00B4167E"/>
    <w:rsid w:val="00B56B1B"/>
    <w:rsid w:val="00B72218"/>
    <w:rsid w:val="00B90BA4"/>
    <w:rsid w:val="00B928FF"/>
    <w:rsid w:val="00B962E0"/>
    <w:rsid w:val="00BA0A35"/>
    <w:rsid w:val="00BA10B1"/>
    <w:rsid w:val="00BA13B7"/>
    <w:rsid w:val="00BA65B8"/>
    <w:rsid w:val="00BA76B5"/>
    <w:rsid w:val="00BC5C63"/>
    <w:rsid w:val="00BD263E"/>
    <w:rsid w:val="00BF1766"/>
    <w:rsid w:val="00C00DA2"/>
    <w:rsid w:val="00C10C79"/>
    <w:rsid w:val="00C20C51"/>
    <w:rsid w:val="00C409B9"/>
    <w:rsid w:val="00C634EC"/>
    <w:rsid w:val="00C66545"/>
    <w:rsid w:val="00C8191C"/>
    <w:rsid w:val="00C927D9"/>
    <w:rsid w:val="00CA74C5"/>
    <w:rsid w:val="00CB3DFC"/>
    <w:rsid w:val="00CB6D38"/>
    <w:rsid w:val="00CE6337"/>
    <w:rsid w:val="00CF640C"/>
    <w:rsid w:val="00D04E2D"/>
    <w:rsid w:val="00D152B1"/>
    <w:rsid w:val="00D23DCB"/>
    <w:rsid w:val="00D3320C"/>
    <w:rsid w:val="00D435A3"/>
    <w:rsid w:val="00D4562E"/>
    <w:rsid w:val="00D84293"/>
    <w:rsid w:val="00D9228E"/>
    <w:rsid w:val="00DA4BA7"/>
    <w:rsid w:val="00DB316E"/>
    <w:rsid w:val="00DC1EA8"/>
    <w:rsid w:val="00DD54BF"/>
    <w:rsid w:val="00DF643F"/>
    <w:rsid w:val="00E00B28"/>
    <w:rsid w:val="00E014DB"/>
    <w:rsid w:val="00E04EC2"/>
    <w:rsid w:val="00E14FE5"/>
    <w:rsid w:val="00E24ACA"/>
    <w:rsid w:val="00E26770"/>
    <w:rsid w:val="00E30B1D"/>
    <w:rsid w:val="00E526C7"/>
    <w:rsid w:val="00E73F9C"/>
    <w:rsid w:val="00E75E83"/>
    <w:rsid w:val="00EA63EF"/>
    <w:rsid w:val="00EA7E72"/>
    <w:rsid w:val="00EB0442"/>
    <w:rsid w:val="00EC5F03"/>
    <w:rsid w:val="00EE20A2"/>
    <w:rsid w:val="00EF3B51"/>
    <w:rsid w:val="00F06D23"/>
    <w:rsid w:val="00F36E98"/>
    <w:rsid w:val="00F52C6D"/>
    <w:rsid w:val="00F55451"/>
    <w:rsid w:val="00F73710"/>
    <w:rsid w:val="00F872E7"/>
    <w:rsid w:val="00FA4373"/>
    <w:rsid w:val="00FB09C6"/>
    <w:rsid w:val="00FB2BBD"/>
    <w:rsid w:val="00FD7A36"/>
    <w:rsid w:val="00FD7C5F"/>
    <w:rsid w:val="00FE193C"/>
    <w:rsid w:val="00FE7DCA"/>
    <w:rsid w:val="00FF0452"/>
    <w:rsid w:val="01F33190"/>
    <w:rsid w:val="021B1125"/>
    <w:rsid w:val="02BE0F3D"/>
    <w:rsid w:val="05636B24"/>
    <w:rsid w:val="088452B8"/>
    <w:rsid w:val="0B4E7A0A"/>
    <w:rsid w:val="0DEE755E"/>
    <w:rsid w:val="0EB001CF"/>
    <w:rsid w:val="10C47397"/>
    <w:rsid w:val="15F455B8"/>
    <w:rsid w:val="16893F8B"/>
    <w:rsid w:val="18A137CE"/>
    <w:rsid w:val="19630F5F"/>
    <w:rsid w:val="27DB3786"/>
    <w:rsid w:val="29EC5C74"/>
    <w:rsid w:val="2BD348E3"/>
    <w:rsid w:val="33EE4A62"/>
    <w:rsid w:val="39072D3A"/>
    <w:rsid w:val="3BA2434B"/>
    <w:rsid w:val="3BBA39C6"/>
    <w:rsid w:val="3E7778F8"/>
    <w:rsid w:val="46AA0848"/>
    <w:rsid w:val="4E654F0A"/>
    <w:rsid w:val="511B429D"/>
    <w:rsid w:val="56A62B04"/>
    <w:rsid w:val="590A25B7"/>
    <w:rsid w:val="5A2115CF"/>
    <w:rsid w:val="633B2FF5"/>
    <w:rsid w:val="642841DC"/>
    <w:rsid w:val="66EE21D2"/>
    <w:rsid w:val="681311B3"/>
    <w:rsid w:val="6AEF7984"/>
    <w:rsid w:val="75EB0336"/>
    <w:rsid w:val="79516ECC"/>
    <w:rsid w:val="7B027746"/>
    <w:rsid w:val="7BC84167"/>
    <w:rsid w:val="7C5E1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autoRedefine/>
    <w:unhideWhenUsed/>
    <w:qFormat/>
    <w:uiPriority w:val="9"/>
    <w:pPr>
      <w:keepNext/>
      <w:keepLines/>
      <w:spacing w:before="260" w:after="260" w:line="416" w:lineRule="auto"/>
      <w:outlineLvl w:val="2"/>
    </w:pPr>
    <w:rPr>
      <w:b/>
      <w:bCs/>
      <w:sz w:val="32"/>
      <w:szCs w:val="32"/>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30"/>
    <w:autoRedefine/>
    <w:unhideWhenUsed/>
    <w:qFormat/>
    <w:uiPriority w:val="99"/>
    <w:pPr>
      <w:jc w:val="left"/>
    </w:pPr>
  </w:style>
  <w:style w:type="paragraph" w:styleId="6">
    <w:name w:val="toc 3"/>
    <w:basedOn w:val="1"/>
    <w:next w:val="1"/>
    <w:autoRedefine/>
    <w:unhideWhenUsed/>
    <w:qFormat/>
    <w:uiPriority w:val="39"/>
    <w:pPr>
      <w:ind w:left="840" w:leftChars="400"/>
    </w:pPr>
  </w:style>
  <w:style w:type="paragraph" w:styleId="7">
    <w:name w:val="Date"/>
    <w:basedOn w:val="1"/>
    <w:next w:val="1"/>
    <w:link w:val="23"/>
    <w:autoRedefine/>
    <w:semiHidden/>
    <w:unhideWhenUsed/>
    <w:qFormat/>
    <w:uiPriority w:val="99"/>
    <w:pPr>
      <w:ind w:left="100" w:leftChars="2500"/>
    </w:pPr>
  </w:style>
  <w:style w:type="paragraph" w:styleId="8">
    <w:name w:val="Balloon Text"/>
    <w:basedOn w:val="1"/>
    <w:link w:val="32"/>
    <w:autoRedefine/>
    <w:semiHidden/>
    <w:unhideWhenUsed/>
    <w:qFormat/>
    <w:uiPriority w:val="99"/>
    <w:rPr>
      <w:sz w:val="18"/>
      <w:szCs w:val="18"/>
    </w:rPr>
  </w:style>
  <w:style w:type="paragraph" w:styleId="9">
    <w:name w:val="footer"/>
    <w:basedOn w:val="1"/>
    <w:link w:val="22"/>
    <w:autoRedefine/>
    <w:unhideWhenUsed/>
    <w:qFormat/>
    <w:uiPriority w:val="99"/>
    <w:pPr>
      <w:tabs>
        <w:tab w:val="center" w:pos="4153"/>
        <w:tab w:val="right" w:pos="8306"/>
      </w:tabs>
      <w:snapToGrid w:val="0"/>
      <w:ind w:firstLine="0" w:firstLineChars="0"/>
      <w:jc w:val="left"/>
    </w:pPr>
    <w:rPr>
      <w:rFonts w:asciiTheme="minorHAnsi" w:hAnsiTheme="minorHAnsi" w:eastAsiaTheme="minorEastAsia" w:cstheme="minorBidi"/>
      <w:sz w:val="18"/>
      <w:szCs w:val="18"/>
    </w:rPr>
  </w:style>
  <w:style w:type="paragraph" w:styleId="10">
    <w:name w:val="header"/>
    <w:basedOn w:val="1"/>
    <w:link w:val="21"/>
    <w:autoRedefine/>
    <w:unhideWhenUsed/>
    <w:qFormat/>
    <w:uiPriority w:val="99"/>
    <w:pPr>
      <w:pBdr>
        <w:bottom w:val="single" w:color="auto" w:sz="6" w:space="1"/>
      </w:pBdr>
      <w:tabs>
        <w:tab w:val="center" w:pos="4153"/>
        <w:tab w:val="right" w:pos="8306"/>
      </w:tabs>
      <w:snapToGrid w:val="0"/>
      <w:ind w:firstLine="0" w:firstLineChars="0"/>
      <w:jc w:val="center"/>
    </w:pPr>
    <w:rPr>
      <w:rFonts w:asciiTheme="minorHAnsi" w:hAnsiTheme="minorHAnsi" w:eastAsiaTheme="minorEastAsia" w:cstheme="minorBidi"/>
      <w:sz w:val="18"/>
      <w:szCs w:val="18"/>
    </w:rPr>
  </w:style>
  <w:style w:type="paragraph" w:styleId="11">
    <w:name w:val="toc 1"/>
    <w:basedOn w:val="1"/>
    <w:next w:val="1"/>
    <w:autoRedefine/>
    <w:unhideWhenUsed/>
    <w:qFormat/>
    <w:uiPriority w:val="39"/>
  </w:style>
  <w:style w:type="paragraph" w:styleId="12">
    <w:name w:val="footnote text"/>
    <w:basedOn w:val="1"/>
    <w:link w:val="25"/>
    <w:autoRedefine/>
    <w:semiHidden/>
    <w:unhideWhenUsed/>
    <w:qFormat/>
    <w:uiPriority w:val="99"/>
    <w:pPr>
      <w:snapToGrid w:val="0"/>
      <w:jc w:val="left"/>
    </w:pPr>
    <w:rPr>
      <w:sz w:val="18"/>
      <w:szCs w:val="18"/>
    </w:rPr>
  </w:style>
  <w:style w:type="paragraph" w:styleId="13">
    <w:name w:val="toc 2"/>
    <w:basedOn w:val="1"/>
    <w:next w:val="1"/>
    <w:autoRedefine/>
    <w:unhideWhenUsed/>
    <w:qFormat/>
    <w:uiPriority w:val="39"/>
    <w:pPr>
      <w:ind w:left="420" w:leftChars="200"/>
    </w:pPr>
  </w:style>
  <w:style w:type="paragraph" w:styleId="14">
    <w:name w:val="annotation subject"/>
    <w:basedOn w:val="5"/>
    <w:next w:val="5"/>
    <w:link w:val="31"/>
    <w:autoRedefine/>
    <w:semiHidden/>
    <w:unhideWhenUsed/>
    <w:qFormat/>
    <w:uiPriority w:val="99"/>
    <w:rPr>
      <w:b/>
      <w:bCs/>
    </w:rPr>
  </w:style>
  <w:style w:type="table" w:styleId="16">
    <w:name w:val="Table Grid"/>
    <w:basedOn w:val="1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autoRedefine/>
    <w:unhideWhenUsed/>
    <w:qFormat/>
    <w:uiPriority w:val="99"/>
    <w:rPr>
      <w:color w:val="0563C1" w:themeColor="hyperlink"/>
      <w:u w:val="single"/>
      <w14:textFill>
        <w14:solidFill>
          <w14:schemeClr w14:val="hlink"/>
        </w14:solidFill>
      </w14:textFill>
    </w:rPr>
  </w:style>
  <w:style w:type="character" w:styleId="19">
    <w:name w:val="annotation reference"/>
    <w:basedOn w:val="17"/>
    <w:autoRedefine/>
    <w:semiHidden/>
    <w:unhideWhenUsed/>
    <w:qFormat/>
    <w:uiPriority w:val="99"/>
    <w:rPr>
      <w:sz w:val="21"/>
      <w:szCs w:val="21"/>
    </w:rPr>
  </w:style>
  <w:style w:type="character" w:styleId="20">
    <w:name w:val="footnote reference"/>
    <w:basedOn w:val="17"/>
    <w:autoRedefine/>
    <w:semiHidden/>
    <w:unhideWhenUsed/>
    <w:qFormat/>
    <w:uiPriority w:val="99"/>
    <w:rPr>
      <w:vertAlign w:val="superscript"/>
    </w:rPr>
  </w:style>
  <w:style w:type="character" w:customStyle="1" w:styleId="21">
    <w:name w:val="页眉 Char"/>
    <w:basedOn w:val="17"/>
    <w:link w:val="10"/>
    <w:autoRedefine/>
    <w:qFormat/>
    <w:uiPriority w:val="99"/>
    <w:rPr>
      <w:sz w:val="18"/>
      <w:szCs w:val="18"/>
    </w:rPr>
  </w:style>
  <w:style w:type="character" w:customStyle="1" w:styleId="22">
    <w:name w:val="页脚 Char"/>
    <w:basedOn w:val="17"/>
    <w:link w:val="9"/>
    <w:autoRedefine/>
    <w:qFormat/>
    <w:uiPriority w:val="99"/>
    <w:rPr>
      <w:sz w:val="18"/>
      <w:szCs w:val="18"/>
    </w:rPr>
  </w:style>
  <w:style w:type="character" w:customStyle="1" w:styleId="23">
    <w:name w:val="日期 Char"/>
    <w:basedOn w:val="17"/>
    <w:link w:val="7"/>
    <w:autoRedefine/>
    <w:semiHidden/>
    <w:qFormat/>
    <w:uiPriority w:val="99"/>
    <w:rPr>
      <w:rFonts w:ascii="Calibri" w:hAnsi="Calibri" w:eastAsia="仿宋_GB2312" w:cs="黑体"/>
      <w:sz w:val="28"/>
    </w:rPr>
  </w:style>
  <w:style w:type="character" w:customStyle="1" w:styleId="24">
    <w:name w:val="标题 2 Char"/>
    <w:basedOn w:val="17"/>
    <w:link w:val="3"/>
    <w:autoRedefine/>
    <w:qFormat/>
    <w:uiPriority w:val="9"/>
    <w:rPr>
      <w:rFonts w:asciiTheme="majorHAnsi" w:hAnsiTheme="majorHAnsi" w:eastAsiaTheme="majorEastAsia" w:cstheme="majorBidi"/>
      <w:b/>
      <w:bCs/>
      <w:sz w:val="32"/>
      <w:szCs w:val="32"/>
    </w:rPr>
  </w:style>
  <w:style w:type="character" w:customStyle="1" w:styleId="25">
    <w:name w:val="脚注文本 Char"/>
    <w:basedOn w:val="17"/>
    <w:link w:val="12"/>
    <w:autoRedefine/>
    <w:semiHidden/>
    <w:qFormat/>
    <w:uiPriority w:val="99"/>
    <w:rPr>
      <w:rFonts w:ascii="Calibri" w:hAnsi="Calibri" w:eastAsia="仿宋_GB2312" w:cs="黑体"/>
      <w:sz w:val="18"/>
      <w:szCs w:val="18"/>
    </w:rPr>
  </w:style>
  <w:style w:type="paragraph" w:styleId="26">
    <w:name w:val="List Paragraph"/>
    <w:basedOn w:val="1"/>
    <w:autoRedefine/>
    <w:qFormat/>
    <w:uiPriority w:val="34"/>
    <w:pPr>
      <w:ind w:firstLine="420"/>
    </w:pPr>
  </w:style>
  <w:style w:type="table" w:customStyle="1" w:styleId="27">
    <w:name w:val="网格型1"/>
    <w:basedOn w:val="1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8">
    <w:name w:val="标题 1 Char"/>
    <w:basedOn w:val="17"/>
    <w:link w:val="2"/>
    <w:autoRedefine/>
    <w:qFormat/>
    <w:uiPriority w:val="9"/>
    <w:rPr>
      <w:rFonts w:ascii="Calibri" w:hAnsi="Calibri" w:eastAsia="仿宋_GB2312" w:cs="黑体"/>
      <w:b/>
      <w:bCs/>
      <w:kern w:val="44"/>
      <w:sz w:val="44"/>
      <w:szCs w:val="44"/>
    </w:rPr>
  </w:style>
  <w:style w:type="paragraph" w:customStyle="1" w:styleId="29">
    <w:name w:val="TOC Heading"/>
    <w:basedOn w:val="2"/>
    <w:next w:val="1"/>
    <w:autoRedefine/>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30">
    <w:name w:val="批注文字 Char"/>
    <w:basedOn w:val="17"/>
    <w:link w:val="5"/>
    <w:autoRedefine/>
    <w:qFormat/>
    <w:uiPriority w:val="99"/>
    <w:rPr>
      <w:rFonts w:ascii="Calibri" w:hAnsi="Calibri" w:eastAsia="仿宋_GB2312" w:cs="黑体"/>
      <w:sz w:val="28"/>
    </w:rPr>
  </w:style>
  <w:style w:type="character" w:customStyle="1" w:styleId="31">
    <w:name w:val="批注主题 Char"/>
    <w:basedOn w:val="30"/>
    <w:link w:val="14"/>
    <w:autoRedefine/>
    <w:semiHidden/>
    <w:qFormat/>
    <w:uiPriority w:val="99"/>
    <w:rPr>
      <w:rFonts w:ascii="Calibri" w:hAnsi="Calibri" w:eastAsia="仿宋_GB2312" w:cs="黑体"/>
      <w:b/>
      <w:bCs/>
      <w:sz w:val="28"/>
    </w:rPr>
  </w:style>
  <w:style w:type="character" w:customStyle="1" w:styleId="32">
    <w:name w:val="批注框文本 Char"/>
    <w:basedOn w:val="17"/>
    <w:link w:val="8"/>
    <w:autoRedefine/>
    <w:semiHidden/>
    <w:qFormat/>
    <w:uiPriority w:val="99"/>
    <w:rPr>
      <w:rFonts w:ascii="Calibri" w:hAnsi="Calibri" w:eastAsia="仿宋_GB2312" w:cs="黑体"/>
      <w:sz w:val="18"/>
      <w:szCs w:val="18"/>
    </w:rPr>
  </w:style>
  <w:style w:type="character" w:customStyle="1" w:styleId="33">
    <w:name w:val="标题 3 Char"/>
    <w:basedOn w:val="17"/>
    <w:link w:val="4"/>
    <w:autoRedefine/>
    <w:qFormat/>
    <w:uiPriority w:val="9"/>
    <w:rPr>
      <w:rFonts w:ascii="Calibri" w:hAnsi="Calibri" w:eastAsia="仿宋_GB2312" w:cs="黑体"/>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A0CF6-DD1A-4376-8413-2CCF2B668F46}">
  <ds:schemaRefs/>
</ds:datastoreItem>
</file>

<file path=docProps/app.xml><?xml version="1.0" encoding="utf-8"?>
<Properties xmlns="http://schemas.openxmlformats.org/officeDocument/2006/extended-properties" xmlns:vt="http://schemas.openxmlformats.org/officeDocument/2006/docPropsVTypes">
  <Template>Normal</Template>
  <Pages>24</Pages>
  <Words>1735</Words>
  <Characters>9892</Characters>
  <Lines>82</Lines>
  <Paragraphs>23</Paragraphs>
  <TotalTime>40</TotalTime>
  <ScaleCrop>false</ScaleCrop>
  <LinksUpToDate>false</LinksUpToDate>
  <CharactersWithSpaces>11604</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2024-04-12T07:46:00Z</dcterms:created>
  <dc:creator>张 宇</dc:creator>
  <cp:lastModifiedBy>Administrator</cp:lastModifiedBy>
  <cp:lastPrinted>2023-04-11T02:57:00Z</cp:lastPrinted>
  <dcterms:modified xsi:type="dcterms:W3CDTF">2024-09-03T10:35:38Z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201B5E19BC0F4209938A52DCFB9EBB22_13</vt:lpwstr>
  </property>
</Properties>
</file>