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overflowPunct/>
        <w:topLinePunct w:val="0"/>
        <w:bidi w:val="0"/>
        <w:spacing w:before="0" w:after="0" w:line="560" w:lineRule="exact"/>
        <w:textAlignment w:val="auto"/>
        <w:outlineLvl w:val="0"/>
        <w:rPr>
          <w:rFonts w:hint="eastAsia" w:ascii="Times New Roman" w:hAnsi="Times New Roman" w:eastAsia="方正黑体_GBK"/>
          <w:b w:val="0"/>
          <w:lang w:eastAsia="zh-CN"/>
        </w:rPr>
      </w:pPr>
      <w:r>
        <w:rPr>
          <w:rFonts w:ascii="Times New Roman" w:hAnsi="Times New Roman" w:eastAsia="方正黑体_GBK"/>
          <w:b w:val="0"/>
        </w:rPr>
        <w:t>附件</w:t>
      </w:r>
      <w:r>
        <w:rPr>
          <w:rFonts w:hint="eastAsia" w:ascii="Times New Roman" w:hAnsi="Times New Roman" w:eastAsia="方正黑体_GBK"/>
          <w:b w:val="0"/>
          <w:lang w:val="en-US" w:eastAsia="zh-CN"/>
        </w:rPr>
        <w:t>2</w:t>
      </w: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overflowPunct/>
        <w:topLinePunct w:val="0"/>
        <w:bidi w:val="0"/>
        <w:spacing w:line="560" w:lineRule="exact"/>
        <w:jc w:val="center"/>
        <w:textAlignment w:val="auto"/>
        <w:outlineLvl w:val="0"/>
        <w:rPr>
          <w:rFonts w:hint="eastAsia" w:ascii="方正小标宋_GBK" w:hAnsi="宋体" w:eastAsia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/>
          <w:bCs/>
          <w:sz w:val="44"/>
          <w:szCs w:val="44"/>
        </w:rPr>
        <w:t>乌鲁木齐市级特色美食街区验收评分表</w:t>
      </w:r>
    </w:p>
    <w:bookmarkEnd w:id="0"/>
    <w:tbl>
      <w:tblPr>
        <w:tblStyle w:val="6"/>
        <w:tblW w:w="0" w:type="auto"/>
        <w:tblInd w:w="108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2885"/>
        <w:gridCol w:w="1082"/>
        <w:gridCol w:w="2712"/>
        <w:gridCol w:w="108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8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特色美食街区名称：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考  评  内  容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单 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满 分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评 分 办 法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考 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得 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街区内经营同类餐饮品种或提供相关服务的店铺数量或营业面积，应占全部店铺数量或营业面积50％以上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达到50％以上，计单项满分，每减少5％，扣2分，不计负分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带状街的长度一般为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00米以上，岛状街区的营业总面积一般为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万平方米以上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达到</w:t>
            </w: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Cs w:val="21"/>
              </w:rPr>
              <w:t>00米以上计单项满分，每减少50米，扣2分，不计负分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街区从业人员达到500人以上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达到500人以上，计单项满分，每减少50人，扣2分，不计负分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室内外停车位100个以上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达到100个以上，计单项满分，每减少10个，扣2分，不计负分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年营业总额5000万元以上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271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达到5000万元以上，计单项满分，每减少500万元，扣2分，不计负分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街区内门店的设计和装饰要美观、大方，建筑风格要有统一主题特色并与区域功能和周围环境相协调，具有良好的市场氛围，能够体现所在地商业文化和人文风貌，并符合JGJ48-88的相关要求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完全符合要求计单项满分，与JGJ48-88的相关要求不相符合的，每项扣1分，不计负分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进入街区的主要道口各种标识应设置齐全，符合GB/T10001的相关规定，并设置导购平面图或导购指示标牌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符合要求计单项满分，与GB/T10001的相关规定不相符合的，每项扣1分，不计负分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街区环境应整洁、卫生，路面坚固、平整、清洁、防滑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符合要求计单项满分，对</w:t>
            </w:r>
            <w:r>
              <w:rPr>
                <w:rFonts w:hint="default" w:ascii="Times New Roman" w:hAnsi="Times New Roman" w:eastAsia="方正仿宋_GBK" w:cs="Times New Roman"/>
                <w:spacing w:val="-20"/>
                <w:szCs w:val="21"/>
              </w:rPr>
              <w:t>达不到相关要求的，酌情扣分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绿化的种植及养护应符合当地绿化主管部门的规划设计和要求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符合要求计单项满分，对</w:t>
            </w:r>
            <w:r>
              <w:rPr>
                <w:rFonts w:hint="default" w:ascii="Times New Roman" w:hAnsi="Times New Roman" w:eastAsia="方正仿宋_GBK" w:cs="Times New Roman"/>
                <w:spacing w:val="-20"/>
                <w:szCs w:val="21"/>
              </w:rPr>
              <w:t>达不到相关要求的，酌情扣分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统一规划设置户外广告、休闲椅、雕塑、彩灯或灯箱等公共设施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符合要求计单项满分，对</w:t>
            </w:r>
            <w:r>
              <w:rPr>
                <w:rFonts w:hint="default" w:ascii="Times New Roman" w:hAnsi="Times New Roman" w:eastAsia="方正仿宋_GBK" w:cs="Times New Roman"/>
                <w:spacing w:val="-20"/>
                <w:szCs w:val="21"/>
              </w:rPr>
              <w:t>达不到相关要求的，酌情扣分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街区内设有与经营相适应的公共停车场、公共厕所、垃圾收集和分类处理设施等方便顾客的配套设施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符合要求计单项满分，对达不到相关要求的，每项扣1分，不计负分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街区内按照《方便残疾人使用的城市道路和建筑物设计规范》采用无障碍设计，方便弱势人群使用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符合要求计单项满分，对达不到相关要求的，每项扣1分，不计负分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街区内具有达标的消防、交通、卫生、照明、广播、配套污染防治设施、排水等设施设备和条件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符合要求计单项满分，对达不到相关要求的，每项扣1分，不计负分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街区内有标志明显的紧急疏散撤离</w:t>
            </w:r>
            <w:r>
              <w:rPr>
                <w:rFonts w:hint="default" w:ascii="Times New Roman" w:hAnsi="Times New Roman" w:eastAsia="方正仿宋_GBK" w:cs="Times New Roman"/>
                <w:spacing w:val="-12"/>
                <w:szCs w:val="21"/>
              </w:rPr>
              <w:t>通道、安全出口、应急照明等设施设备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符合要求计单项满分，对达不到相关要求的，每项扣1分，不计负分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396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 xml:space="preserve">根据特色美食街的实际情况设计安装安全设施，应符合下列规定：安装必要的报警装置；安装必要的视频安防监控装置，对某些特别活动区域实施监视和录像 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符合要求计单项满分，对达不到相关要求的，每项扣1分，不计负分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761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总 分</w:t>
            </w:r>
          </w:p>
        </w:tc>
        <w:tc>
          <w:tcPr>
            <w:tcW w:w="10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108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见</w:t>
            </w:r>
          </w:p>
        </w:tc>
        <w:tc>
          <w:tcPr>
            <w:tcW w:w="7761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textAlignment w:val="auto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评审人：                      评审时间：</w:t>
            </w:r>
          </w:p>
        </w:tc>
      </w:tr>
    </w:tbl>
    <w:p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8"/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Style w:val="8"/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8"/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Style w:val="8"/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Style w:val="8"/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80670"/>
    <w:rsid w:val="1FF8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</w:pPr>
    <w:rPr>
      <w:rFonts w:ascii="Calibri" w:hAnsi="Calibri"/>
      <w:szCs w:val="22"/>
    </w:rPr>
  </w:style>
  <w:style w:type="paragraph" w:styleId="3">
    <w:name w:val="Body Text First Indent"/>
    <w:basedOn w:val="2"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2023-12-13T11:16:00Z</dcterms:created>
  <dc:creator>albeni</dc:creator>
  <cp:lastModifiedBy>albeni</cp:lastModifiedBy>
  <dcterms:modified xsi:type="dcterms:W3CDTF">2023-12-13T11:17:28Z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