
<file path=[Content_Types].xml><?xml version="1.0" encoding="utf-8"?>
<Types xmlns="http://schemas.openxmlformats.org/package/2006/content-types">
  <Default Extension="xml" ContentType="application/xml"/>
  <Default Extension="png" ContentType="image/pn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ind w:firstLine="640" w:firstLineChars="200"/>
        <w:rPr>
          <w:rFonts w:ascii="Times New Roman" w:hAnsi="Times New Roman" w:eastAsia="仿宋_GB2312"/>
          <w:sz w:val="32"/>
        </w:rPr>
      </w:pPr>
    </w:p>
    <w:p>
      <w:pPr>
        <w:ind w:firstLine="880" w:firstLineChars="200"/>
        <w:rPr>
          <w:rFonts w:hint="eastAsia" w:ascii="Times New Roman" w:hAnsi="Times New Roman"/>
          <w:sz w:val="44"/>
          <w:szCs w:val="44"/>
        </w:rPr>
      </w:pPr>
      <w:bookmarkStart w:id="0" w:name="OLE_LINK1"/>
      <w:bookmarkStart w:id="1" w:name="OLE_LINK2"/>
      <w:r>
        <w:rPr>
          <w:rFonts w:hint="eastAsia" w:ascii="Times New Roman" w:hAnsi="Times New Roman"/>
          <w:sz w:val="44"/>
          <w:szCs w:val="44"/>
        </w:rPr>
        <w:t>乌鲁木齐市生活垃圾处理费管理办法</w:t>
      </w:r>
      <w:bookmarkEnd w:id="0"/>
      <w:bookmarkEnd w:id="1"/>
    </w:p>
    <w:p>
      <w:pPr>
        <w:ind w:firstLine="640" w:firstLineChars="200"/>
        <w:rPr>
          <w:rFonts w:hint="eastAsia" w:ascii="Times New Roman" w:hAnsi="Times New Roman" w:eastAsia="楷体_GB2312"/>
          <w:sz w:val="32"/>
        </w:rPr>
      </w:pPr>
      <w:r>
        <w:rPr>
          <w:rFonts w:hint="eastAsia" w:ascii="Times New Roman" w:hAnsi="Times New Roman" w:eastAsia="楷体_GB2312"/>
          <w:sz w:val="32"/>
        </w:rPr>
        <w:t>（2006年12月30日乌鲁木齐市人民政府令第82号公布</w:t>
      </w:r>
    </w:p>
    <w:p>
      <w:pPr>
        <w:rPr>
          <w:rFonts w:hint="eastAsia" w:ascii="Times New Roman" w:hAnsi="Times New Roman" w:eastAsia="楷体_GB2312"/>
          <w:sz w:val="32"/>
        </w:rPr>
      </w:pPr>
      <w:r>
        <w:rPr>
          <w:rFonts w:hint="eastAsia" w:ascii="Times New Roman" w:hAnsi="Times New Roman" w:eastAsia="楷体_GB2312"/>
          <w:sz w:val="32"/>
        </w:rPr>
        <w:t>2024年8月24日乌鲁木齐市人民政府令第153号修订，自2024年10月1日起施行）</w:t>
      </w:r>
    </w:p>
    <w:p>
      <w:pPr>
        <w:pStyle w:val="2"/>
      </w:pP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第一条</w:t>
      </w:r>
      <w:r>
        <w:rPr>
          <w:rFonts w:hint="default" w:ascii="Times New Roman" w:hAnsi="Times New Roman" w:eastAsia="方正仿宋_GBK" w:cs="Times New Roman"/>
          <w:sz w:val="32"/>
        </w:rPr>
        <w:t xml:space="preserve">  为规范本市</w:t>
      </w:r>
      <w:bookmarkStart w:id="2" w:name="_GoBack"/>
      <w:bookmarkEnd w:id="2"/>
      <w:r>
        <w:rPr>
          <w:rFonts w:hint="default" w:ascii="Times New Roman" w:hAnsi="Times New Roman" w:eastAsia="方正仿宋_GBK" w:cs="Times New Roman"/>
          <w:sz w:val="32"/>
        </w:rPr>
        <w:t>生活垃圾处理费的征收和使用，提高生活垃圾处理质量，促进资源循环利用，根据《中华人民共和国固体废物污染环境防治法》《新疆维吾尔自治区城镇生活垃圾管理条例》等法律法规，结合本市实际，制定本办法。</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第二条</w:t>
      </w:r>
      <w:r>
        <w:rPr>
          <w:rFonts w:hint="default" w:ascii="Times New Roman" w:hAnsi="Times New Roman" w:eastAsia="方正仿宋_GBK" w:cs="Times New Roman"/>
          <w:sz w:val="32"/>
        </w:rPr>
        <w:t xml:space="preserve">  本市生活垃圾处理费的征收和使用适用本办法。</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生活垃圾，是指在日常生活中或者为日常生活提供服务的活动中产生的固体废物，以及法律法规规定视为生活垃圾的固体废物。</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生活垃圾处理费是指向单位和个人征收的，用于收集、运输以及焚烧、填埋或者利用其他方式处理生活垃圾的费用。</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第三条</w:t>
      </w:r>
      <w:r>
        <w:rPr>
          <w:rFonts w:hint="default" w:ascii="Times New Roman" w:hAnsi="Times New Roman" w:eastAsia="方正仿宋_GBK" w:cs="Times New Roman"/>
          <w:sz w:val="32"/>
        </w:rPr>
        <w:t xml:space="preserve">  市税务主管部门负责指导全市生活垃圾处理费的征收工作，各区（县）税务主管部门按照属地原则征收辖区范围内的生活垃圾处理费。</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城市管理主管部门是生活垃圾管理工作的主管部门，配合税务主管部门依法做好生活垃圾处理费征收等有关工作。</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市发展和改革、财政、住房和城乡建设、民政等主管部门应当按照各自职责做好生活垃圾处理费的相关管理工作。</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第四条</w:t>
      </w:r>
      <w:r>
        <w:rPr>
          <w:rFonts w:hint="default" w:ascii="Times New Roman" w:hAnsi="Times New Roman" w:eastAsia="方正仿宋_GBK" w:cs="Times New Roman"/>
          <w:sz w:val="32"/>
        </w:rPr>
        <w:t xml:space="preserve">  本市行政区域内产生生活垃圾的单位和个人，应当按照本办法规定按时、足额缴纳生活垃圾处理费。</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第五条</w:t>
      </w:r>
      <w:r>
        <w:rPr>
          <w:rFonts w:hint="default" w:ascii="Times New Roman" w:hAnsi="Times New Roman" w:eastAsia="方正仿宋_GBK" w:cs="Times New Roman"/>
          <w:sz w:val="32"/>
        </w:rPr>
        <w:t xml:space="preserve">  生活垃圾处理费属于行政事业性收费，应当按照谁产生、谁付费和便民、高效的原则征收，收费标准由市发展和改革部门会同市财政、城市管理主管部门制定，依法定程序报市人民政府批准后公布执行。</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第六条</w:t>
      </w:r>
      <w:r>
        <w:rPr>
          <w:rFonts w:hint="default" w:ascii="Times New Roman" w:hAnsi="Times New Roman" w:eastAsia="方正仿宋_GBK" w:cs="Times New Roman"/>
          <w:sz w:val="32"/>
        </w:rPr>
        <w:t xml:space="preserve">  供水企业、物业服务企业或其他有关单位为生活垃圾处理费的代收代缴单位，应当采取与水费同步计收的方式，按照规定的收费标准代收生活垃圾处理费，并在规定期限内向各区（县）税务主管部门申报缴纳。</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工业园区用户等不适用与水费同步计收方式计算生活垃圾处理费的用户，按市城市管理主管部门核定的实际生活垃圾产生量向各区（县）税务主管部门缴纳生活垃圾处理费。</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第七条</w:t>
      </w:r>
      <w:r>
        <w:rPr>
          <w:rFonts w:hint="default" w:ascii="Times New Roman" w:hAnsi="Times New Roman" w:eastAsia="方正仿宋_GBK" w:cs="Times New Roman"/>
          <w:sz w:val="32"/>
        </w:rPr>
        <w:t xml:space="preserve">  养老服务机构、福利院免缴生活垃圾处理费，应当到市城市管理主管部门办理免缴手续。</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第八条</w:t>
      </w:r>
      <w:r>
        <w:rPr>
          <w:rFonts w:hint="default" w:ascii="Times New Roman" w:hAnsi="Times New Roman" w:eastAsia="方正仿宋_GBK" w:cs="Times New Roman"/>
          <w:sz w:val="32"/>
        </w:rPr>
        <w:t xml:space="preserve">  依照本办法征收的生活垃圾处理费，应当按照国库集中收缴制度等有关规定及时、足额缴入国库。资金入库后需要退库的，按照非税收入有关退库管理规定办理。</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第九条</w:t>
      </w:r>
      <w:r>
        <w:rPr>
          <w:rFonts w:hint="default" w:ascii="Times New Roman" w:hAnsi="Times New Roman" w:eastAsia="方正仿宋_GBK" w:cs="Times New Roman"/>
          <w:sz w:val="32"/>
        </w:rPr>
        <w:t xml:space="preserve">  供水企业、物业服务企业按时足额代收代缴生活垃圾处理费的，市城市管理主管部门应当支付代收手续费。</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手续费标准由市城市管理主管部门制定，报市人民政府批准后执行。</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第十条</w:t>
      </w:r>
      <w:r>
        <w:rPr>
          <w:rFonts w:hint="default" w:ascii="Times New Roman" w:hAnsi="Times New Roman" w:eastAsia="方正仿宋_GBK" w:cs="Times New Roman"/>
          <w:sz w:val="32"/>
        </w:rPr>
        <w:t xml:space="preserve">  生活垃圾处理费应当专款专用，专项用于生活垃圾的收集、运输和终端处置，由财政部门按照分配方案进行拨付。</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任何单位和个人不得隐匿、转移、截留、坐支、挪用、私分生活垃圾处理费。</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第十一条</w:t>
      </w:r>
      <w:r>
        <w:rPr>
          <w:rFonts w:hint="default" w:ascii="Times New Roman" w:hAnsi="Times New Roman" w:eastAsia="方正仿宋_GBK" w:cs="Times New Roman"/>
          <w:sz w:val="32"/>
        </w:rPr>
        <w:t xml:space="preserve">  支付给生活垃圾处理单位的生活垃圾处理费用标准，生活垃圾处理特许经营协议有约定的，从其约定；无特许经营协议的其他生活垃圾处理单位，费用标准参照市有关规定执行。</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仿宋_GBK" w:cs="Times New Roman"/>
          <w:sz w:val="32"/>
        </w:rPr>
        <w:t>生活垃圾处理单位应当按照实际生活垃圾处理量向市城市管理主管部门申报生活垃圾处理费。市城市管理主管部门根据支付标准和协议核定生活垃圾处理费用，核定后按照有关规定予以拨付。</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第十二条</w:t>
      </w:r>
      <w:r>
        <w:rPr>
          <w:rFonts w:hint="default" w:ascii="Times New Roman" w:hAnsi="Times New Roman" w:eastAsia="方正仿宋_GBK" w:cs="Times New Roman"/>
          <w:sz w:val="32"/>
        </w:rPr>
        <w:t xml:space="preserve">  违反本办法规定，法律法规、规章已有处罚规定的，依照其规定执行。</w:t>
      </w:r>
    </w:p>
    <w:p>
      <w:pPr>
        <w:keepNext w:val="0"/>
        <w:keepLines w:val="0"/>
        <w:pageBreakBefore w:val="0"/>
        <w:widowControl w:val="0"/>
        <w:kinsoku/>
        <w:wordWrap/>
        <w:overflowPunct/>
        <w:topLinePunct w:val="0"/>
        <w:autoSpaceDE/>
        <w:autoSpaceDN/>
        <w:bidi w:val="0"/>
        <w:adjustRightInd/>
        <w:snapToGrid/>
        <w:spacing w:line="540" w:lineRule="exact"/>
        <w:ind w:left="0" w:leftChars="0" w:firstLine="640" w:firstLineChars="200"/>
        <w:jc w:val="both"/>
        <w:textAlignment w:val="auto"/>
        <w:rPr>
          <w:rFonts w:hint="default" w:ascii="Times New Roman" w:hAnsi="Times New Roman" w:eastAsia="方正仿宋_GBK" w:cs="Times New Roman"/>
          <w:sz w:val="32"/>
        </w:rPr>
      </w:pPr>
      <w:r>
        <w:rPr>
          <w:rFonts w:hint="default" w:ascii="Times New Roman" w:hAnsi="Times New Roman" w:eastAsia="方正黑体_GBK" w:cs="Times New Roman"/>
          <w:b w:val="0"/>
          <w:bCs w:val="0"/>
          <w:sz w:val="32"/>
        </w:rPr>
        <w:t>第十三条</w:t>
      </w:r>
      <w:r>
        <w:rPr>
          <w:rFonts w:hint="default" w:ascii="Times New Roman" w:hAnsi="Times New Roman" w:eastAsia="方正仿宋_GBK" w:cs="Times New Roman"/>
          <w:sz w:val="32"/>
        </w:rPr>
        <w:t xml:space="preserve">  本办法自</w:t>
      </w:r>
      <w:r>
        <w:rPr>
          <w:rFonts w:hint="default" w:ascii="Times New Roman" w:hAnsi="Times New Roman" w:eastAsia="方正仿宋_GBK" w:cs="Times New Roman"/>
          <w:sz w:val="32"/>
          <w:lang w:val="en-US" w:eastAsia="zh-CN"/>
        </w:rPr>
        <w:t>2024</w:t>
      </w:r>
      <w:r>
        <w:rPr>
          <w:rFonts w:hint="default" w:ascii="Times New Roman" w:hAnsi="Times New Roman" w:eastAsia="方正仿宋_GBK" w:cs="Times New Roman"/>
          <w:sz w:val="32"/>
        </w:rPr>
        <w:t>年</w:t>
      </w:r>
      <w:r>
        <w:rPr>
          <w:rFonts w:hint="eastAsia" w:ascii="Times New Roman" w:hAnsi="Times New Roman" w:eastAsia="方正仿宋_GBK" w:cs="Times New Roman"/>
          <w:sz w:val="32"/>
          <w:lang w:val="en-US" w:eastAsia="zh-CN"/>
        </w:rPr>
        <w:t>10</w:t>
      </w:r>
      <w:r>
        <w:rPr>
          <w:rFonts w:hint="default" w:ascii="Times New Roman" w:hAnsi="Times New Roman" w:eastAsia="方正仿宋_GBK" w:cs="Times New Roman"/>
          <w:sz w:val="32"/>
        </w:rPr>
        <w:t>月</w:t>
      </w:r>
      <w:r>
        <w:rPr>
          <w:rFonts w:hint="eastAsia" w:ascii="Times New Roman" w:hAnsi="Times New Roman" w:eastAsia="方正仿宋_GBK" w:cs="Times New Roman"/>
          <w:sz w:val="32"/>
          <w:lang w:val="en-US" w:eastAsia="zh-CN"/>
        </w:rPr>
        <w:t>1</w:t>
      </w:r>
      <w:r>
        <w:rPr>
          <w:rFonts w:hint="default" w:ascii="Times New Roman" w:hAnsi="Times New Roman" w:eastAsia="方正仿宋_GBK" w:cs="Times New Roman"/>
          <w:sz w:val="32"/>
        </w:rPr>
        <w:t>日起施行。2006年12月30日市人民政府令第82号发布的《乌鲁木齐市城市生活垃圾处理费征收管理办法》同时废止。</w:t>
      </w:r>
    </w:p>
    <w:p>
      <w:pPr>
        <w:overflowPunct w:val="0"/>
        <w:ind w:firstLine="640" w:firstLineChars="200"/>
        <w:rPr>
          <w:rFonts w:ascii="Times New Roman" w:hAnsi="Times New Roman" w:eastAsia="仿宋_GB2312"/>
          <w:sz w:val="32"/>
          <w:szCs w:val="40"/>
        </w:rPr>
      </w:pPr>
    </w:p>
    <w:p>
      <w:pPr>
        <w:pStyle w:val="13"/>
        <w:rPr>
          <w:rFonts w:ascii="Times New Roman" w:hAnsi="Times New Roman"/>
        </w:rPr>
        <w:sectPr>
          <w:headerReference r:id="rId3" w:type="default"/>
          <w:footerReference r:id="rId4" w:type="default"/>
          <w:pgSz w:w="11906" w:h="16838"/>
          <w:pgMar w:top="1962" w:right="1474" w:bottom="1848" w:left="1587" w:header="851" w:footer="992" w:gutter="0"/>
          <w:pgNumType w:fmt="numberInDash" w:start="1"/>
          <w:cols w:space="0" w:num="1"/>
          <w:docGrid w:type="lines" w:linePitch="312" w:charSpace="0"/>
        </w:sectPr>
      </w:pPr>
    </w:p>
    <w:p>
      <w:pPr>
        <w:pStyle w:val="5"/>
        <w:rPr>
          <w:rFonts w:ascii="Times New Roman" w:hAnsi="Times New Roman"/>
        </w:rPr>
      </w:pPr>
    </w:p>
    <w:sectPr>
      <w:headerReference r:id="rId5" w:type="default"/>
      <w:footerReference r:id="rId6" w:type="default"/>
      <w:type w:val="continuous"/>
      <w:pgSz w:w="11906" w:h="16838"/>
      <w:pgMar w:top="1531" w:right="1984" w:bottom="1531" w:left="2098" w:header="851" w:footer="992" w:gutter="0"/>
      <w:pgNumType w:fmt="numberInDash"/>
      <w:cols w:space="0"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00002FF" w:usb1="4000ACFF" w:usb2="00000001" w:usb3="00000000" w:csb0="2000019F" w:csb1="00000000"/>
  </w:font>
  <w:font w:name="Courier New">
    <w:panose1 w:val="02070309020205020404"/>
    <w:charset w:val="00"/>
    <w:family w:val="modern"/>
    <w:pitch w:val="default"/>
    <w:sig w:usb0="E0002AFF" w:usb1="C0007843" w:usb2="00000009" w:usb3="00000000" w:csb0="400001FF" w:csb1="FFFF0000"/>
  </w:font>
  <w:font w:name="仿宋">
    <w:panose1 w:val="02010609060101010101"/>
    <w:charset w:val="86"/>
    <w:family w:val="modern"/>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楷体_GB2312">
    <w:panose1 w:val="02010609030101010101"/>
    <w:charset w:val="86"/>
    <w:family w:val="modern"/>
    <w:pitch w:val="default"/>
    <w:sig w:usb0="00000001" w:usb1="080E0000" w:usb2="00000000" w:usb3="00000000" w:csb0="00040000" w:csb1="00000000"/>
  </w:font>
  <w:font w:name="微软雅黑">
    <w:panose1 w:val="020B0503020204020204"/>
    <w:charset w:val="86"/>
    <w:family w:val="auto"/>
    <w:pitch w:val="default"/>
    <w:sig w:usb0="80000287" w:usb1="280F3C52" w:usb2="00000016" w:usb3="00000000" w:csb0="0004001F" w:csb1="00000000"/>
  </w:font>
  <w:font w:name="Tahoma">
    <w:panose1 w:val="020B0604030504040204"/>
    <w:charset w:val="00"/>
    <w:family w:val="auto"/>
    <w:pitch w:val="default"/>
    <w:sig w:usb0="E1002EFF" w:usb1="C000605B" w:usb2="00000029" w:usb3="00000000" w:csb0="200101FF" w:csb1="20280000"/>
  </w:font>
  <w:font w:name="方正仿宋_GBK">
    <w:panose1 w:val="03000509000000000000"/>
    <w:charset w:val="86"/>
    <w:family w:val="script"/>
    <w:pitch w:val="default"/>
    <w:sig w:usb0="00000001" w:usb1="080E0000" w:usb2="00000000" w:usb3="00000000" w:csb0="00040000" w:csb1="00000000"/>
  </w:font>
  <w:font w:name="方正黑体_GBK">
    <w:panose1 w:val="03000509000000000000"/>
    <w:charset w:val="86"/>
    <w:family w:val="script"/>
    <w:pitch w:val="default"/>
    <w:sig w:usb0="00000001" w:usb1="080E0000" w:usb2="00000000" w:usb3="00000000" w:csb0="00040000"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left="4788" w:leftChars="2280" w:firstLine="6400" w:firstLineChars="2000"/>
      <w:rPr>
        <w:rFonts w:eastAsia="仿宋"/>
        <w:sz w:val="32"/>
        <w:szCs w:val="48"/>
      </w:rPr>
    </w:pPr>
    <w:r>
      <w:rPr>
        <w:sz w:val="32"/>
      </w:rPr>
      <mc:AlternateContent>
        <mc:Choice Requires="wps">
          <w:drawing>
            <wp:anchor distT="0" distB="0" distL="114300" distR="114300" simplePos="0" relativeHeight="251661312" behindDoc="0" locked="0" layoutInCell="1" allowOverlap="1">
              <wp:simplePos x="0" y="0"/>
              <wp:positionH relativeFrom="margin">
                <wp:align>outside</wp:align>
              </wp:positionH>
              <wp:positionV relativeFrom="paragraph">
                <wp:posOffset>0</wp:posOffset>
              </wp:positionV>
              <wp:extent cx="1828800" cy="1828800"/>
              <wp:effectExtent l="0" t="0" r="0" b="0"/>
              <wp:wrapNone/>
              <wp:docPr id="10" name="文本框 1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pPr>
                            <w:pStyle w:val="8"/>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p>
                      </w:txbxContent>
                    </wps:txbx>
                    <wps:bodyPr rot="0" spcFirstLastPara="0" vertOverflow="overflow" horzOverflow="overflow" vert="horz" wrap="none" lIns="0" tIns="0" rIns="0" bIns="0" numCol="1" spcCol="0" rtlCol="0" fromWordArt="0" anchor="t" anchorCtr="0" forceAA="0" compatLnSpc="1">
                      <a:spAutoFit/>
                    </wps:bodyPr>
                  </wps:wsp>
                </a:graphicData>
              </a:graphic>
            </wp:anchor>
          </w:drawing>
        </mc:Choice>
        <mc:Fallback>
          <w:pict>
            <v:shape id="_x0000_s1026" o:spid="_x0000_s1026" o:spt="202" type="#_x0000_t202" style="position:absolute;left:0pt;margin-top:0pt;height:144pt;width:144pt;mso-position-horizontal:outside;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">
              <v:fill on="f" focussize="0,0"/>
              <v:stroke on="f" weight="0.5pt"/>
              <v:imagedata o:title=""/>
              <o:lock v:ext="edit" aspectratio="f"/>
              <v:textbox inset="0mm,0mm,0mm,0mm" style="mso-fit-shape-to-text:t;">
                <w:txbxContent>
                  <w:p>
                    <w:pPr>
                      <w:pStyle w:val="8"/>
                      <w:rPr>
                        <w:rFonts w:asciiTheme="minorEastAsia" w:hAnsiTheme="minorEastAsia" w:eastAsiaTheme="minorEastAsia" w:cstheme="minorEastAsia"/>
                        <w:sz w:val="28"/>
                        <w:szCs w:val="28"/>
                      </w:rPr>
                    </w:pPr>
                    <w:r>
                      <w:rPr>
                        <w:rFonts w:hint="eastAsia" w:asciiTheme="minorEastAsia" w:hAnsiTheme="minorEastAsia" w:eastAsiaTheme="minorEastAsia" w:cstheme="minorEastAsia"/>
                        <w:sz w:val="28"/>
                        <w:szCs w:val="28"/>
                      </w:rPr>
                      <w:fldChar w:fldCharType="begin"/>
                    </w:r>
                    <w:r>
                      <w:rPr>
                        <w:rFonts w:hint="eastAsia" w:asciiTheme="minorEastAsia" w:hAnsiTheme="minorEastAsia" w:eastAsiaTheme="minorEastAsia" w:cstheme="minorEastAsia"/>
                        <w:sz w:val="28"/>
                        <w:szCs w:val="28"/>
                      </w:rPr>
                      <w:instrText xml:space="preserve"> PAGE  \* MERGEFORMAT </w:instrText>
                    </w:r>
                    <w:r>
                      <w:rPr>
                        <w:rFonts w:hint="eastAsia" w:asciiTheme="minorEastAsia" w:hAnsiTheme="minorEastAsia" w:eastAsiaTheme="minorEastAsia" w:cstheme="minorEastAsia"/>
                        <w:sz w:val="28"/>
                        <w:szCs w:val="28"/>
                      </w:rPr>
                      <w:fldChar w:fldCharType="separate"/>
                    </w:r>
                    <w:r>
                      <w:rPr>
                        <w:rFonts w:asciiTheme="minorEastAsia" w:hAnsiTheme="minorEastAsia" w:eastAsiaTheme="minorEastAsia" w:cstheme="minorEastAsia"/>
                        <w:sz w:val="28"/>
                        <w:szCs w:val="28"/>
                      </w:rPr>
                      <w:t>- 1 -</w:t>
                    </w:r>
                    <w:r>
                      <w:rPr>
                        <w:rFonts w:hint="eastAsia" w:asciiTheme="minorEastAsia" w:hAnsiTheme="minorEastAsia" w:eastAsiaTheme="minorEastAsia" w:cstheme="minorEastAsia"/>
                        <w:sz w:val="28"/>
                        <w:szCs w:val="28"/>
                      </w:rPr>
                      <w:fldChar w:fldCharType="end"/>
                    </w:r>
                  </w:p>
                </w:txbxContent>
              </v:textbox>
            </v:shape>
          </w:pict>
        </mc:Fallback>
      </mc:AlternateContent>
    </w:r>
    <w:r>
      <w:rPr>
        <w:rFonts w:hint="eastAsia" w:eastAsia="仿宋"/>
        <w:sz w:val="32"/>
        <w:szCs w:val="48"/>
      </w:rPr>
      <w:t xml:space="preserve">  </w:t>
    </w:r>
  </w:p>
  <w:p>
    <w:pPr>
      <w:pStyle w:val="9"/>
      <w:wordWrap w:val="0"/>
      <w:ind w:left="4788" w:leftChars="2280" w:firstLine="6400" w:firstLineChars="2000"/>
      <w:jc w:val="right"/>
      <w:rPr>
        <w:rFonts w:ascii="宋体" w:hAnsi="宋体" w:cs="宋体"/>
        <w:b/>
        <w:bCs/>
        <w:color w:val="005192"/>
        <w:sz w:val="28"/>
        <w:szCs w:val="44"/>
      </w:rPr>
    </w:pPr>
    <w:r>
      <w:rPr>
        <w:color w:val="FAFAFA"/>
        <w:sz w:val="32"/>
      </w:rPr>
      <mc:AlternateContent>
        <mc:Choice Requires="wps">
          <w:drawing>
            <wp:anchor distT="0" distB="0" distL="114300" distR="114300" simplePos="0" relativeHeight="251660288" behindDoc="0" locked="0" layoutInCell="1" allowOverlap="1">
              <wp:simplePos x="0" y="0"/>
              <wp:positionH relativeFrom="column">
                <wp:posOffset>0</wp:posOffset>
              </wp:positionH>
              <wp:positionV relativeFrom="paragraph">
                <wp:posOffset>74295</wp:posOffset>
              </wp:positionV>
              <wp:extent cx="5616575" cy="1905"/>
              <wp:effectExtent l="0" t="10795" r="3175" b="15875"/>
              <wp:wrapNone/>
              <wp:docPr id="11" name="直接连接符 11"/>
              <wp:cNvGraphicFramePr/>
              <a:graphic xmlns:a="http://schemas.openxmlformats.org/drawingml/2006/main">
                <a:graphicData uri="http://schemas.microsoft.com/office/word/2010/wordprocessingShape">
                  <wps:wsp>
                    <wps:cNvCnPr/>
                    <wps:spPr>
                      <a:xfrm>
                        <a:off x="0" y="0"/>
                        <a:ext cx="5616575" cy="1905"/>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pt;margin-top:5.85pt;height:0.15pt;width:442.25pt;z-index:251660288;mso-width-relative:page;mso-height-relative:page;" filled="f" stroked="t" coordsize="21600,21600" o:gfxdata="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">
              <v:fill on="f" focussize="0,0"/>
              <v:stroke weight="1.75pt" color="#005192 [3204]" miterlimit="8" joinstyle="miter"/>
              <v:imagedata o:title=""/>
              <o:lock v:ext="edit" aspectratio="f"/>
            </v:line>
          </w:pict>
        </mc:Fallback>
      </mc:AlternateContent>
    </w:r>
    <w:r>
      <w:rPr>
        <w:rFonts w:hint="eastAsia" w:eastAsia="仿宋"/>
        <w:color w:val="FAFAFA"/>
        <w:sz w:val="32"/>
        <w:szCs w:val="48"/>
      </w:rPr>
      <w:t>X</w:t>
    </w:r>
    <w:r>
      <w:rPr>
        <w:rFonts w:hint="eastAsia" w:ascii="宋体" w:hAnsi="宋体" w:cs="宋体"/>
        <w:b/>
        <w:bCs/>
        <w:color w:val="005192"/>
        <w:sz w:val="28"/>
        <w:szCs w:val="44"/>
      </w:rPr>
      <w:t>乌鲁木齐市人民政府发布</w:t>
    </w:r>
  </w:p>
  <w:p>
    <w:pPr>
      <w:pStyle w:val="9"/>
      <w:wordWrap w:val="0"/>
      <w:ind w:left="4788" w:leftChars="2280" w:firstLine="5622" w:firstLineChars="2000"/>
      <w:jc w:val="right"/>
      <w:rPr>
        <w:rFonts w:ascii="宋体" w:hAnsi="宋体" w:cs="宋体"/>
        <w:b/>
        <w:bCs/>
        <w:color w:val="005192"/>
        <w:sz w:val="28"/>
        <w:szCs w:val="44"/>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ind w:left="4788" w:leftChars="2280" w:firstLine="6400" w:firstLineChars="2000"/>
      <w:rPr>
        <w:rFonts w:eastAsia="仿宋"/>
        <w:sz w:val="32"/>
        <w:szCs w:val="48"/>
      </w:rPr>
    </w:pPr>
    <w:r>
      <w:rPr>
        <w:rFonts w:hint="eastAsia" w:eastAsia="仿宋"/>
        <w:sz w:val="32"/>
        <w:szCs w:val="48"/>
      </w:rPr>
      <w:t xml:space="preserve">  </w:t>
    </w:r>
  </w:p>
  <w:p>
    <w:pPr>
      <w:pStyle w:val="9"/>
      <w:wordWrap w:val="0"/>
      <w:ind w:left="4788" w:leftChars="2280" w:firstLine="5622" w:firstLineChars="2000"/>
      <w:jc w:val="right"/>
      <w:rPr>
        <w:rFonts w:ascii="宋体" w:hAnsi="宋体" w:cs="宋体"/>
        <w:b/>
        <w:bCs/>
        <w:color w:val="005192"/>
        <w:sz w:val="28"/>
        <w:szCs w:val="44"/>
      </w:rPr>
    </w:pP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extAlignment w:val="center"/>
      <w:rPr>
        <w:rFonts w:ascii="宋体" w:hAnsi="宋体" w:cs="宋体"/>
        <w:b/>
        <w:bCs/>
        <w:color w:val="005192"/>
        <w:sz w:val="32"/>
      </w:rPr>
    </w:pPr>
    <w:r>
      <w:rPr>
        <w:rFonts w:hint="eastAsia" w:ascii="宋体" w:hAnsi="宋体" w:cs="宋体"/>
        <w:b/>
        <w:bCs/>
        <w:color w:val="005192"/>
        <w:sz w:val="32"/>
      </w:rPr>
      <mc:AlternateContent>
        <mc:Choice Requires="wps">
          <w:drawing>
            <wp:anchor distT="0" distB="0" distL="114300" distR="114300" simplePos="0" relativeHeight="251659264" behindDoc="0" locked="0" layoutInCell="1" allowOverlap="1">
              <wp:simplePos x="0" y="0"/>
              <wp:positionH relativeFrom="column">
                <wp:posOffset>-3810</wp:posOffset>
              </wp:positionH>
              <wp:positionV relativeFrom="paragraph">
                <wp:posOffset>690245</wp:posOffset>
              </wp:positionV>
              <wp:extent cx="5620385" cy="0"/>
              <wp:effectExtent l="0" t="12700" r="18415" b="15875"/>
              <wp:wrapNone/>
              <wp:docPr id="4" name="直接连接符 4"/>
              <wp:cNvGraphicFramePr/>
              <a:graphic xmlns:a="http://schemas.openxmlformats.org/drawingml/2006/main">
                <a:graphicData uri="http://schemas.microsoft.com/office/word/2010/wordprocessingShape">
                  <wps:wsp>
                    <wps:cNvCnPr/>
                    <wps:spPr>
                      <a:xfrm>
                        <a:off x="4133850" y="864870"/>
                        <a:ext cx="5620385" cy="0"/>
                      </a:xfrm>
                      <a:prstGeom prst="line">
                        <a:avLst/>
                      </a:prstGeom>
                      <a:ln w="22225">
                        <a:solidFill>
                          <a:srgbClr val="005192"/>
                        </a:solidFill>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line id="_x0000_s1026" o:spid="_x0000_s1026" o:spt="20" style="position:absolute;left:0pt;margin-left:-0.3pt;margin-top:54.35pt;height:0pt;width:442.55pt;z-index:251659264;mso-width-relative:page;mso-height-relative:page;" filled="f" stroked="t" coordsize="21600,21600" o:gfxdata="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">
              <v:fill on="f" focussize="0,0"/>
              <v:stroke weight="1.75pt" color="#005192 [3204]" miterlimit="8" joinstyle="miter"/>
              <v:imagedata o:title=""/>
              <o:lock v:ext="edit" aspectratio="f"/>
            </v:line>
          </w:pict>
        </mc:Fallback>
      </mc:AlternateContent>
    </w:r>
  </w:p>
  <w:p>
    <w:pPr>
      <w:pStyle w:val="9"/>
      <w:textAlignment w:val="center"/>
      <w:rPr>
        <w:rFonts w:ascii="宋体" w:hAnsi="宋体" w:cs="宋体"/>
        <w:b/>
        <w:bCs/>
        <w:color w:val="005192"/>
        <w:sz w:val="32"/>
        <w:szCs w:val="32"/>
      </w:rPr>
    </w:pPr>
    <w:r>
      <w:rPr>
        <w:rFonts w:hint="eastAsia" w:ascii="宋体" w:hAnsi="宋体" w:cs="宋体"/>
        <w:b/>
        <w:bCs/>
        <w:color w:val="005192"/>
        <w:sz w:val="32"/>
      </w:rPr>
      <w:drawing>
        <wp:inline distT="0" distB="0" distL="114300" distR="114300">
          <wp:extent cx="308610" cy="308610"/>
          <wp:effectExtent l="0" t="0" r="11430" b="11430"/>
          <wp:docPr id="6" name="图片 6" descr="国徽102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6" name="图片 6" descr="国徽1024"/>
                  <pic:cNvPicPr>
                    <a:picLocks noChangeAspect="1"/>
                  </pic:cNvPicPr>
                </pic:nvPicPr>
                <pic:blipFill>
                  <a:blip r:embed="rId1"/>
                  <a:stretch>
                    <a:fillRect/>
                  </a:stretch>
                </pic:blipFill>
                <pic:spPr>
                  <a:xfrm>
                    <a:off x="0" y="0"/>
                    <a:ext cx="308610" cy="308610"/>
                  </a:xfrm>
                  <a:prstGeom prst="rect">
                    <a:avLst/>
                  </a:prstGeom>
                </pic:spPr>
              </pic:pic>
            </a:graphicData>
          </a:graphic>
        </wp:inline>
      </w:drawing>
    </w:r>
    <w:r>
      <w:rPr>
        <w:rFonts w:hint="eastAsia" w:ascii="宋体" w:hAnsi="宋体" w:cs="宋体"/>
        <w:b/>
        <w:bCs/>
        <w:color w:val="005192"/>
        <w:sz w:val="32"/>
        <w:szCs w:val="32"/>
      </w:rPr>
      <w:t>乌鲁木齐市人民政府规章</w:t>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9"/>
      <w:textAlignment w:val="center"/>
      <w:rPr>
        <w:rFonts w:ascii="宋体" w:hAnsi="宋体" w:cs="宋体"/>
        <w:b/>
        <w:bCs/>
        <w:color w:val="005192"/>
        <w:sz w:val="32"/>
      </w:rPr>
    </w:pPr>
  </w:p>
  <w:p>
    <w:pPr>
      <w:pStyle w:val="9"/>
      <w:textAlignment w:val="center"/>
      <w:rPr>
        <w:rFonts w:ascii="宋体" w:hAnsi="宋体" w:cs="宋体"/>
        <w:b/>
        <w:bCs/>
        <w:color w:val="005192"/>
        <w:sz w:val="32"/>
        <w:szCs w:val="32"/>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10"/>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Zjc5OTQ3MTE4NzA4NzM3ZjMyMTc4NmQxZjQ5YTVlYTkifQ=="/>
  </w:docVars>
  <w:rsids>
    <w:rsidRoot w:val="00172A27"/>
    <w:rsid w:val="000A31AD"/>
    <w:rsid w:val="00172A27"/>
    <w:rsid w:val="002646BC"/>
    <w:rsid w:val="00395F63"/>
    <w:rsid w:val="003E06EE"/>
    <w:rsid w:val="00470FAC"/>
    <w:rsid w:val="00582B36"/>
    <w:rsid w:val="005E360B"/>
    <w:rsid w:val="006800AD"/>
    <w:rsid w:val="006F5359"/>
    <w:rsid w:val="007176F7"/>
    <w:rsid w:val="007A2E84"/>
    <w:rsid w:val="00811991"/>
    <w:rsid w:val="008461AB"/>
    <w:rsid w:val="008C603F"/>
    <w:rsid w:val="008F3D42"/>
    <w:rsid w:val="00F71064"/>
    <w:rsid w:val="019E71BD"/>
    <w:rsid w:val="04B679C3"/>
    <w:rsid w:val="080F63D8"/>
    <w:rsid w:val="08B7755F"/>
    <w:rsid w:val="08FDCF77"/>
    <w:rsid w:val="09341458"/>
    <w:rsid w:val="0B0912D7"/>
    <w:rsid w:val="0EFF8E81"/>
    <w:rsid w:val="0FFB27C2"/>
    <w:rsid w:val="0FFB2F5C"/>
    <w:rsid w:val="12FF010B"/>
    <w:rsid w:val="152D2DCA"/>
    <w:rsid w:val="16DE6B09"/>
    <w:rsid w:val="1ABABA6E"/>
    <w:rsid w:val="1DDB9122"/>
    <w:rsid w:val="1DEC284C"/>
    <w:rsid w:val="1DFE33D3"/>
    <w:rsid w:val="1DFF6FAB"/>
    <w:rsid w:val="1E6523AC"/>
    <w:rsid w:val="1EF6C256"/>
    <w:rsid w:val="1F3D74AD"/>
    <w:rsid w:val="1F6F3FD5"/>
    <w:rsid w:val="1FFDBF88"/>
    <w:rsid w:val="1FFF4E51"/>
    <w:rsid w:val="22440422"/>
    <w:rsid w:val="25B34A91"/>
    <w:rsid w:val="27FE667C"/>
    <w:rsid w:val="29FE393F"/>
    <w:rsid w:val="2BDEB44D"/>
    <w:rsid w:val="2BDF82F8"/>
    <w:rsid w:val="2EBFCDFC"/>
    <w:rsid w:val="2FB7C0C4"/>
    <w:rsid w:val="2FFFC55A"/>
    <w:rsid w:val="31A15F24"/>
    <w:rsid w:val="363606EC"/>
    <w:rsid w:val="364FC2AF"/>
    <w:rsid w:val="37B34963"/>
    <w:rsid w:val="395347B5"/>
    <w:rsid w:val="39A232A0"/>
    <w:rsid w:val="39DC8036"/>
    <w:rsid w:val="39E745AA"/>
    <w:rsid w:val="3B5A6BBB"/>
    <w:rsid w:val="3BEF2462"/>
    <w:rsid w:val="3CADE362"/>
    <w:rsid w:val="3EDA13A6"/>
    <w:rsid w:val="3FDF52E9"/>
    <w:rsid w:val="3FFA20B4"/>
    <w:rsid w:val="3FFF1B53"/>
    <w:rsid w:val="42F058B7"/>
    <w:rsid w:val="436109F6"/>
    <w:rsid w:val="441A38D4"/>
    <w:rsid w:val="4BC77339"/>
    <w:rsid w:val="4C9236C5"/>
    <w:rsid w:val="4FEEBAE7"/>
    <w:rsid w:val="4FFF6020"/>
    <w:rsid w:val="505C172E"/>
    <w:rsid w:val="52F46F0B"/>
    <w:rsid w:val="53D8014D"/>
    <w:rsid w:val="55E064E0"/>
    <w:rsid w:val="566F83E0"/>
    <w:rsid w:val="572C6D10"/>
    <w:rsid w:val="57BBB06A"/>
    <w:rsid w:val="57BFC5D9"/>
    <w:rsid w:val="59FE161B"/>
    <w:rsid w:val="5CBEAF25"/>
    <w:rsid w:val="5DC34279"/>
    <w:rsid w:val="5DDB5D06"/>
    <w:rsid w:val="5DFD4209"/>
    <w:rsid w:val="5E3E538C"/>
    <w:rsid w:val="5EAF41B4"/>
    <w:rsid w:val="5EB96EA7"/>
    <w:rsid w:val="5EFBA923"/>
    <w:rsid w:val="5F175F43"/>
    <w:rsid w:val="5F31210A"/>
    <w:rsid w:val="5FDD512D"/>
    <w:rsid w:val="5FEB94B0"/>
    <w:rsid w:val="5FFD1CCD"/>
    <w:rsid w:val="5FFF9BB9"/>
    <w:rsid w:val="608816D1"/>
    <w:rsid w:val="60EF4E7F"/>
    <w:rsid w:val="63BF1E29"/>
    <w:rsid w:val="63F714BE"/>
    <w:rsid w:val="665233C1"/>
    <w:rsid w:val="677FC52E"/>
    <w:rsid w:val="67FE398F"/>
    <w:rsid w:val="69E3FF5B"/>
    <w:rsid w:val="6AD9688B"/>
    <w:rsid w:val="6B9CF9A7"/>
    <w:rsid w:val="6D0E3F22"/>
    <w:rsid w:val="6D2B46C5"/>
    <w:rsid w:val="6DAEDF4F"/>
    <w:rsid w:val="6DBD1A91"/>
    <w:rsid w:val="6ECA63A5"/>
    <w:rsid w:val="6F77B3CB"/>
    <w:rsid w:val="6F9F906E"/>
    <w:rsid w:val="6FEA34C1"/>
    <w:rsid w:val="6FEF583A"/>
    <w:rsid w:val="72BF7D06"/>
    <w:rsid w:val="73EF83DD"/>
    <w:rsid w:val="73F6C477"/>
    <w:rsid w:val="75C3FE59"/>
    <w:rsid w:val="75EFB4BE"/>
    <w:rsid w:val="76FE6E5A"/>
    <w:rsid w:val="77576A78"/>
    <w:rsid w:val="775D28C0"/>
    <w:rsid w:val="776FF04C"/>
    <w:rsid w:val="77730ACF"/>
    <w:rsid w:val="77DE8999"/>
    <w:rsid w:val="78FD7209"/>
    <w:rsid w:val="797F93E0"/>
    <w:rsid w:val="79EB6D47"/>
    <w:rsid w:val="7AF70416"/>
    <w:rsid w:val="7BFE694A"/>
    <w:rsid w:val="7C6A8441"/>
    <w:rsid w:val="7C9011D9"/>
    <w:rsid w:val="7CFF30FE"/>
    <w:rsid w:val="7D3FC1EE"/>
    <w:rsid w:val="7D6EA468"/>
    <w:rsid w:val="7DBEB93E"/>
    <w:rsid w:val="7DC651C5"/>
    <w:rsid w:val="7DDA77AE"/>
    <w:rsid w:val="7DDF3440"/>
    <w:rsid w:val="7DEF5333"/>
    <w:rsid w:val="7DFD0BF2"/>
    <w:rsid w:val="7DFE08D3"/>
    <w:rsid w:val="7EE75800"/>
    <w:rsid w:val="7EEB14A2"/>
    <w:rsid w:val="7EED3EA7"/>
    <w:rsid w:val="7EFD10DE"/>
    <w:rsid w:val="7F4951E8"/>
    <w:rsid w:val="7F566003"/>
    <w:rsid w:val="7F6E6811"/>
    <w:rsid w:val="7F6F38EA"/>
    <w:rsid w:val="7FCC2834"/>
    <w:rsid w:val="7FDF9C6B"/>
    <w:rsid w:val="7FF349E5"/>
    <w:rsid w:val="7FF75C87"/>
    <w:rsid w:val="7FFB4064"/>
    <w:rsid w:val="7FFD4F59"/>
    <w:rsid w:val="7FFF29C6"/>
    <w:rsid w:val="8FD477DE"/>
    <w:rsid w:val="91FFBC28"/>
    <w:rsid w:val="96F289E3"/>
    <w:rsid w:val="9B671BE9"/>
    <w:rsid w:val="9B790267"/>
    <w:rsid w:val="9CA9CF4B"/>
    <w:rsid w:val="9DF6E832"/>
    <w:rsid w:val="9EFA41A8"/>
    <w:rsid w:val="A37FFDFF"/>
    <w:rsid w:val="A3FFA377"/>
    <w:rsid w:val="AD7E70B4"/>
    <w:rsid w:val="AE3FF158"/>
    <w:rsid w:val="AEAFE29F"/>
    <w:rsid w:val="AEFF1F52"/>
    <w:rsid w:val="AFDBF2CC"/>
    <w:rsid w:val="AFFF3C95"/>
    <w:rsid w:val="B77F895A"/>
    <w:rsid w:val="B7DF9E51"/>
    <w:rsid w:val="B7DFC323"/>
    <w:rsid w:val="B7FF00F1"/>
    <w:rsid w:val="BB16F398"/>
    <w:rsid w:val="BB3F1445"/>
    <w:rsid w:val="BD3BD060"/>
    <w:rsid w:val="BD7F844B"/>
    <w:rsid w:val="BDCF21BB"/>
    <w:rsid w:val="BF1F15E8"/>
    <w:rsid w:val="BF7C4161"/>
    <w:rsid w:val="C1FE3029"/>
    <w:rsid w:val="CBAE2D88"/>
    <w:rsid w:val="CBFF7720"/>
    <w:rsid w:val="CD4F2F34"/>
    <w:rsid w:val="CEBE0E8D"/>
    <w:rsid w:val="D077943D"/>
    <w:rsid w:val="D1B948B6"/>
    <w:rsid w:val="D2FD3360"/>
    <w:rsid w:val="D6FF1E3C"/>
    <w:rsid w:val="DBFC08F4"/>
    <w:rsid w:val="DBFE3C2D"/>
    <w:rsid w:val="DD271402"/>
    <w:rsid w:val="DEC7ACFE"/>
    <w:rsid w:val="DF6FABB9"/>
    <w:rsid w:val="DFB94035"/>
    <w:rsid w:val="DFDB7E84"/>
    <w:rsid w:val="DFDF4CD2"/>
    <w:rsid w:val="DFFD8C55"/>
    <w:rsid w:val="DFFE954C"/>
    <w:rsid w:val="DFFFD602"/>
    <w:rsid w:val="E5AE602D"/>
    <w:rsid w:val="E7674DEF"/>
    <w:rsid w:val="E7E76A54"/>
    <w:rsid w:val="E7FD7553"/>
    <w:rsid w:val="E96F8726"/>
    <w:rsid w:val="EBFF3E6A"/>
    <w:rsid w:val="ED1B5A36"/>
    <w:rsid w:val="EDBB844C"/>
    <w:rsid w:val="EDFF1409"/>
    <w:rsid w:val="EEB70BB5"/>
    <w:rsid w:val="EFDFEBD2"/>
    <w:rsid w:val="EFF68EE0"/>
    <w:rsid w:val="EFF72B85"/>
    <w:rsid w:val="EFF76905"/>
    <w:rsid w:val="EFFFBAB0"/>
    <w:rsid w:val="F3DFAF22"/>
    <w:rsid w:val="F5646866"/>
    <w:rsid w:val="F5E376DE"/>
    <w:rsid w:val="F73BA52B"/>
    <w:rsid w:val="F77F1A9E"/>
    <w:rsid w:val="F7FB037C"/>
    <w:rsid w:val="F7FC3310"/>
    <w:rsid w:val="F8FD45EF"/>
    <w:rsid w:val="F9FD8EDE"/>
    <w:rsid w:val="FAE3979B"/>
    <w:rsid w:val="FAF643E6"/>
    <w:rsid w:val="FBB9D010"/>
    <w:rsid w:val="FBCF0F5B"/>
    <w:rsid w:val="FBFD3982"/>
    <w:rsid w:val="FBFED47D"/>
    <w:rsid w:val="FD7B2FA3"/>
    <w:rsid w:val="FDDCA309"/>
    <w:rsid w:val="FDEDC85B"/>
    <w:rsid w:val="FDF74B56"/>
    <w:rsid w:val="FDF9027D"/>
    <w:rsid w:val="FDF9E267"/>
    <w:rsid w:val="FDFFFE0C"/>
    <w:rsid w:val="FE0FF7B3"/>
    <w:rsid w:val="FE5CB8E5"/>
    <w:rsid w:val="FEDEE385"/>
    <w:rsid w:val="FEEFA190"/>
    <w:rsid w:val="FEF34001"/>
    <w:rsid w:val="FEFDFA9D"/>
    <w:rsid w:val="FEFEECB6"/>
    <w:rsid w:val="FEFF4C9D"/>
    <w:rsid w:val="FF3B17BA"/>
    <w:rsid w:val="FF6A92FD"/>
    <w:rsid w:val="FF7D25FD"/>
    <w:rsid w:val="FFAFC34F"/>
    <w:rsid w:val="FFDE7A1E"/>
    <w:rsid w:val="FFEC0FCF"/>
    <w:rsid w:val="FFEE434C"/>
    <w:rsid w:val="FFEFBB5E"/>
    <w:rsid w:val="FFF60733"/>
    <w:rsid w:val="FFFFDBA8"/>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Calibri" w:hAnsi="Calibri"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qFormat="1"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uiPriority="1" w:name="Default Paragraph Font"/>
    <w:lsdException w:qFormat="1" w:uiPriority="99" w:semiHidden="0" w:name="Body Text"/>
    <w:lsdException w:qFormat="1" w:uiPriority="99"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qFormat="1" w:unhideWhenUsed="0" w:uiPriority="99"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qFormat="1" w:uiPriority="99"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Calibri" w:hAnsi="Calibri" w:eastAsia="宋体" w:cs="Times New Roman"/>
      <w:kern w:val="2"/>
      <w:sz w:val="21"/>
      <w:szCs w:val="24"/>
      <w:lang w:val="en-US" w:eastAsia="zh-CN" w:bidi="ar-SA"/>
    </w:rPr>
  </w:style>
  <w:style w:type="character" w:default="1" w:styleId="12">
    <w:name w:val="Default Paragraph Font"/>
    <w:semiHidden/>
    <w:unhideWhenUsed/>
    <w:uiPriority w:val="1"/>
  </w:style>
  <w:style w:type="table" w:default="1" w:styleId="11">
    <w:name w:val="Normal Table"/>
    <w:semiHidden/>
    <w:unhideWhenUsed/>
    <w:uiPriority w:val="99"/>
    <w:tblPr>
      <w:tblLayout w:type="fixed"/>
      <w:tblCellMar>
        <w:top w:w="0" w:type="dxa"/>
        <w:left w:w="108" w:type="dxa"/>
        <w:bottom w:w="0" w:type="dxa"/>
        <w:right w:w="108" w:type="dxa"/>
      </w:tblCellMar>
    </w:tblPr>
  </w:style>
  <w:style w:type="paragraph" w:styleId="2">
    <w:name w:val="Body Text First Indent 2"/>
    <w:basedOn w:val="3"/>
    <w:next w:val="1"/>
    <w:qFormat/>
    <w:uiPriority w:val="99"/>
    <w:pPr>
      <w:ind w:firstLine="420" w:firstLineChars="200"/>
    </w:pPr>
  </w:style>
  <w:style w:type="paragraph" w:styleId="3">
    <w:name w:val="Body Text Indent"/>
    <w:basedOn w:val="1"/>
    <w:next w:val="1"/>
    <w:unhideWhenUsed/>
    <w:qFormat/>
    <w:uiPriority w:val="99"/>
    <w:pPr>
      <w:spacing w:after="120"/>
      <w:ind w:left="420" w:leftChars="200"/>
    </w:pPr>
    <w:rPr>
      <w:szCs w:val="24"/>
    </w:rPr>
  </w:style>
  <w:style w:type="paragraph" w:styleId="4">
    <w:name w:val="annotation text"/>
    <w:basedOn w:val="1"/>
    <w:qFormat/>
    <w:uiPriority w:val="0"/>
    <w:pPr>
      <w:jc w:val="left"/>
    </w:pPr>
  </w:style>
  <w:style w:type="paragraph" w:styleId="5">
    <w:name w:val="Body Text"/>
    <w:basedOn w:val="1"/>
    <w:unhideWhenUsed/>
    <w:qFormat/>
    <w:uiPriority w:val="99"/>
    <w:pPr>
      <w:spacing w:after="120"/>
    </w:pPr>
  </w:style>
  <w:style w:type="paragraph" w:styleId="6">
    <w:name w:val="Plain Text"/>
    <w:basedOn w:val="1"/>
    <w:unhideWhenUsed/>
    <w:qFormat/>
    <w:uiPriority w:val="99"/>
    <w:rPr>
      <w:rFonts w:ascii="宋体" w:hAnsi="Courier New" w:cs="Courier New"/>
      <w:szCs w:val="21"/>
    </w:rPr>
  </w:style>
  <w:style w:type="paragraph" w:styleId="7">
    <w:name w:val="Balloon Text"/>
    <w:basedOn w:val="1"/>
    <w:link w:val="15"/>
    <w:uiPriority w:val="0"/>
    <w:rPr>
      <w:sz w:val="18"/>
      <w:szCs w:val="18"/>
    </w:rPr>
  </w:style>
  <w:style w:type="paragraph" w:styleId="8">
    <w:name w:val="footer"/>
    <w:basedOn w:val="1"/>
    <w:qFormat/>
    <w:uiPriority w:val="0"/>
    <w:pPr>
      <w:tabs>
        <w:tab w:val="center" w:pos="4153"/>
        <w:tab w:val="right" w:pos="8306"/>
      </w:tabs>
      <w:snapToGrid w:val="0"/>
      <w:jc w:val="left"/>
    </w:pPr>
    <w:rPr>
      <w:sz w:val="18"/>
    </w:rPr>
  </w:style>
  <w:style w:type="paragraph" w:styleId="9">
    <w:name w:val="header"/>
    <w:basedOn w:val="1"/>
    <w:qFormat/>
    <w:uiPriority w:val="0"/>
    <w:pPr>
      <w:pBdr>
        <w:top w:val="none" w:color="auto" w:sz="0" w:space="1"/>
        <w:left w:val="none" w:color="auto" w:sz="0" w:space="4"/>
        <w:bottom w:val="none" w:color="auto" w:sz="0" w:space="1"/>
        <w:right w:val="none" w:color="auto" w:sz="0" w:space="4"/>
      </w:pBdr>
      <w:tabs>
        <w:tab w:val="center" w:pos="4153"/>
        <w:tab w:val="right" w:pos="8306"/>
      </w:tabs>
      <w:snapToGrid w:val="0"/>
    </w:pPr>
    <w:rPr>
      <w:sz w:val="18"/>
    </w:rPr>
  </w:style>
  <w:style w:type="paragraph" w:styleId="10">
    <w:name w:val="Normal (Web)"/>
    <w:basedOn w:val="1"/>
    <w:qFormat/>
    <w:uiPriority w:val="0"/>
    <w:pPr>
      <w:spacing w:before="100" w:beforeAutospacing="1" w:after="100" w:afterAutospacing="1"/>
      <w:jc w:val="left"/>
    </w:pPr>
    <w:rPr>
      <w:kern w:val="0"/>
      <w:sz w:val="24"/>
    </w:rPr>
  </w:style>
  <w:style w:type="paragraph" w:customStyle="1" w:styleId="13">
    <w:name w:val="Normal Indent1"/>
    <w:basedOn w:val="1"/>
    <w:qFormat/>
    <w:uiPriority w:val="99"/>
    <w:pPr>
      <w:ind w:firstLine="420" w:firstLineChars="200"/>
    </w:pPr>
  </w:style>
  <w:style w:type="paragraph" w:customStyle="1" w:styleId="14">
    <w:name w:val="正文-公1"/>
    <w:basedOn w:val="1"/>
    <w:qFormat/>
    <w:uiPriority w:val="0"/>
    <w:pPr>
      <w:ind w:firstLine="200" w:firstLineChars="200"/>
    </w:pPr>
    <w:rPr>
      <w:color w:val="000000"/>
    </w:rPr>
  </w:style>
  <w:style w:type="character" w:customStyle="1" w:styleId="15">
    <w:name w:val="批注框文本 Char"/>
    <w:basedOn w:val="12"/>
    <w:link w:val="7"/>
    <w:uiPriority w:val="0"/>
    <w:rPr>
      <w:rFonts w:ascii="Calibri" w:hAnsi="Calibri"/>
      <w:kern w:val="2"/>
      <w:sz w:val="18"/>
      <w:szCs w:val="18"/>
    </w:rPr>
  </w:style>
  <w:style w:type="paragraph" w:customStyle="1" w:styleId="16">
    <w:name w:val="样式 右侧:  1.69 厘米"/>
    <w:basedOn w:val="1"/>
    <w:qFormat/>
    <w:uiPriority w:val="0"/>
    <w:pPr>
      <w:ind w:right="960"/>
    </w:pPr>
    <w:rPr>
      <w:rFonts w:eastAsia="仿宋" w:cs="宋体"/>
      <w:szCs w:val="20"/>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1.xml"/><Relationship Id="rId7" Type="http://schemas.openxmlformats.org/officeDocument/2006/relationships/theme" Target="theme/theme1.xml"/><Relationship Id="rId6" Type="http://schemas.openxmlformats.org/officeDocument/2006/relationships/footer" Target="footer2.xml"/><Relationship Id="rId5" Type="http://schemas.openxmlformats.org/officeDocument/2006/relationships/header" Target="header2.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Company>Microsoft</Company>
  <Pages>3</Pages>
  <Words>139</Words>
  <Characters>794</Characters>
  <Lines>6</Lines>
  <Paragraphs>1</Paragraphs>
  <TotalTime>2</TotalTime>
  <ScaleCrop>false</ScaleCrop>
  <LinksUpToDate>false</LinksUpToDate>
  <CharactersWithSpaces>932</CharactersWithSpaces>
  <Application>WPS Office_11.8.2.8696_F1E327BC-269C-435d-A152-05C5408002CA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2021-09-23T02:41:00Z</dcterms:created>
  <dc:creator>t</dc:creator>
  <cp:lastModifiedBy>Administrator</cp:lastModifiedBy>
  <cp:lastPrinted>2024-08-14T04:30:00Z</cp:lastPrinted>
  <dcterms:modified xsi:type="dcterms:W3CDTF">2024-09-19T07:00:05Z</dcterms:modified>
  <dc:title>新疆维吾尔自治区农村供水管理办法</dc:title>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2052-11.8.2.8696</vt:lpwstr>
  </property>
  <property fmtid="{D5CDD505-2E9C-101B-9397-08002B2CF9AE}" pid="3" name="ICV">
    <vt:lpwstr>0EF0C18F07EA0F047174F165DF82AF26</vt:lpwstr>
  </property>
</Properties>
</file>